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0F2CE6">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团体标准《岗松篱笆编制品》编制说明</w:t>
      </w:r>
    </w:p>
    <w:p w14:paraId="0E0FBDD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rPr>
      </w:pPr>
    </w:p>
    <w:p w14:paraId="601E6166">
      <w:pPr>
        <w:keepNext w:val="0"/>
        <w:keepLines w:val="0"/>
        <w:pageBreakBefore w:val="0"/>
        <w:widowControl w:val="0"/>
        <w:kinsoku/>
        <w:wordWrap/>
        <w:overflowPunct/>
        <w:topLinePunct w:val="0"/>
        <w:autoSpaceDE/>
        <w:autoSpaceDN/>
        <w:bidi w:val="0"/>
        <w:adjustRightInd w:val="0"/>
        <w:snapToGrid w:val="0"/>
        <w:spacing w:before="157" w:beforeLines="50" w:after="157" w:afterLines="50" w:line="560" w:lineRule="exact"/>
        <w:ind w:firstLine="640" w:firstLineChars="200"/>
        <w:jc w:val="both"/>
        <w:textAlignment w:val="auto"/>
        <w:outlineLvl w:val="0"/>
        <w:rPr>
          <w:rFonts w:hint="eastAsia" w:ascii="黑体" w:hAnsi="黑体" w:eastAsia="黑体" w:cs="黑体"/>
          <w:b w:val="0"/>
          <w:bCs/>
          <w:sz w:val="32"/>
          <w:szCs w:val="32"/>
          <w:lang w:eastAsia="zh-CN"/>
        </w:rPr>
      </w:pPr>
      <w:r>
        <w:rPr>
          <w:rFonts w:hint="eastAsia" w:ascii="黑体" w:hAnsi="黑体" w:eastAsia="黑体" w:cs="黑体"/>
          <w:b w:val="0"/>
          <w:bCs/>
          <w:sz w:val="32"/>
          <w:szCs w:val="32"/>
        </w:rPr>
        <w:t>一、任务来源、起草单位</w:t>
      </w:r>
    </w:p>
    <w:p w14:paraId="0EE9AE1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广西质量协会关于下达2024年第一批团体标准制修订项目计划的通知》（桂质协字〔2024〕7号）文件精神，由广西壮族自治区林业科学研究院提出，联合广西壮族自治区中医药研究院、广西中药质量标准研究重点实验室、广西-东盟食品检验检测中心[国家市场监督管理总局技术创新中心（天然香料香精）]、防城港市绿松源生物科技有限公司、广西壮族自治区药品检验研究院、广西国际商务职业技术学院、广西陇桂投资集团有限公司等单位共同起草的团体标准《岗松篱笆编制品》（项目编号：广西质量协会2024年第一批团体标准制修订项目计划2024-010</w:t>
      </w:r>
      <w:r>
        <w:rPr>
          <w:rFonts w:hint="eastAsia" w:ascii="Times New Roman" w:hAnsi="Times New Roman" w:cs="Times New Roman"/>
          <w:sz w:val="32"/>
          <w:szCs w:val="32"/>
          <w:lang w:val="en-US" w:eastAsia="zh-CN"/>
        </w:rPr>
        <w:t>3</w:t>
      </w:r>
      <w:r>
        <w:rPr>
          <w:rFonts w:hint="default" w:ascii="Times New Roman" w:hAnsi="Times New Roman" w:eastAsia="仿宋_GB2312" w:cs="Times New Roman"/>
          <w:sz w:val="32"/>
          <w:szCs w:val="32"/>
        </w:rPr>
        <w:t>号）获批立项。</w:t>
      </w:r>
    </w:p>
    <w:p w14:paraId="54912072">
      <w:pPr>
        <w:keepNext w:val="0"/>
        <w:keepLines w:val="0"/>
        <w:pageBreakBefore w:val="0"/>
        <w:widowControl w:val="0"/>
        <w:kinsoku/>
        <w:wordWrap/>
        <w:overflowPunct/>
        <w:topLinePunct w:val="0"/>
        <w:autoSpaceDE/>
        <w:autoSpaceDN/>
        <w:bidi w:val="0"/>
        <w:adjustRightInd w:val="0"/>
        <w:snapToGrid w:val="0"/>
        <w:spacing w:before="157" w:beforeLines="50" w:after="157" w:afterLines="50" w:line="560" w:lineRule="exact"/>
        <w:ind w:firstLine="640" w:firstLineChars="200"/>
        <w:jc w:val="both"/>
        <w:textAlignment w:val="auto"/>
        <w:outlineLvl w:val="0"/>
        <w:rPr>
          <w:rFonts w:hint="eastAsia" w:ascii="黑体" w:hAnsi="黑体" w:eastAsia="黑体" w:cs="黑体"/>
          <w:b w:val="0"/>
          <w:bCs/>
          <w:sz w:val="32"/>
          <w:szCs w:val="32"/>
          <w:lang w:eastAsia="zh-CN"/>
        </w:rPr>
      </w:pPr>
      <w:r>
        <w:rPr>
          <w:rFonts w:hint="eastAsia" w:ascii="黑体" w:hAnsi="黑体" w:eastAsia="黑体" w:cs="黑体"/>
          <w:b w:val="0"/>
          <w:bCs/>
          <w:sz w:val="32"/>
          <w:szCs w:val="32"/>
        </w:rPr>
        <w:t>二、制定标准的必要性和意义</w:t>
      </w:r>
    </w:p>
    <w:p w14:paraId="24F66F3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岗松（</w:t>
      </w:r>
      <w:r>
        <w:rPr>
          <w:rFonts w:hint="default" w:ascii="Times New Roman" w:hAnsi="Times New Roman" w:eastAsia="仿宋_GB2312" w:cs="Times New Roman"/>
          <w:i/>
          <w:iCs/>
          <w:sz w:val="32"/>
          <w:szCs w:val="32"/>
        </w:rPr>
        <w:t>Baeckea frutescens</w:t>
      </w:r>
      <w:r>
        <w:rPr>
          <w:rFonts w:hint="default" w:ascii="Times New Roman" w:hAnsi="Times New Roman" w:eastAsia="仿宋_GB2312" w:cs="Times New Roman"/>
          <w:sz w:val="32"/>
          <w:szCs w:val="32"/>
        </w:rPr>
        <w:t>）为桃金娘科岗松属的常绿灌木，广泛分布于我国华南、西南及东南亚地区，尤其在广西、广东等地的丘陵、山地及沿海沙地中形成优势群落。岗松是典型的酸性土壤指示植物，作为耐贫瘠、抗逆性强的先锋植物，在石漠化地区生态修复中具有重要价值。其枝叶提取</w:t>
      </w:r>
      <w:r>
        <w:rPr>
          <w:rFonts w:hint="default" w:ascii="Times New Roman" w:hAnsi="Times New Roman" w:eastAsia="仿宋_GB2312" w:cs="Times New Roman"/>
          <w:sz w:val="32"/>
          <w:szCs w:val="32"/>
          <w:lang w:val="en-US" w:eastAsia="zh-CN"/>
        </w:rPr>
        <w:t>的</w:t>
      </w:r>
      <w:r>
        <w:rPr>
          <w:rFonts w:hint="default" w:ascii="Times New Roman" w:hAnsi="Times New Roman" w:eastAsia="仿宋_GB2312" w:cs="Times New Roman"/>
          <w:sz w:val="32"/>
          <w:szCs w:val="32"/>
        </w:rPr>
        <w:t>精油，富含单萜类化合物（如桉叶油素、α-蒎烯等），具有抗菌、抗炎、抗氧化及驱虫等功效，在医药被用于治疗湿疹、风湿痛及泌尿系统疾病。日化及生态修复领域应用潜力显著。广西、广东等省区已将岗松列为石漠化治理和矿区生态修复的重要物种，2020年国家林草局将其纳入《南方生态屏障建设优先树种名录》。据统计，仅广西地区岗松人工种植面积已超15万亩。</w:t>
      </w:r>
    </w:p>
    <w:p w14:paraId="5BDEFC8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岗松</w:t>
      </w:r>
      <w:r>
        <w:rPr>
          <w:rFonts w:hint="default" w:ascii="Times New Roman" w:hAnsi="Times New Roman" w:eastAsia="仿宋_GB2312" w:cs="Times New Roman"/>
          <w:sz w:val="32"/>
          <w:szCs w:val="32"/>
        </w:rPr>
        <w:t>枝条柔韧（弯曲强度达85MPa）、耐腐性强（自然环境下使用寿命达5-8年），</w:t>
      </w:r>
      <w:r>
        <w:rPr>
          <w:rFonts w:hint="default" w:ascii="Times New Roman" w:hAnsi="Times New Roman" w:eastAsia="仿宋_GB2312" w:cs="Times New Roman"/>
          <w:sz w:val="32"/>
          <w:szCs w:val="32"/>
          <w:lang w:val="en-US" w:eastAsia="zh-CN"/>
        </w:rPr>
        <w:t>常</w:t>
      </w:r>
      <w:r>
        <w:rPr>
          <w:rFonts w:hint="default" w:ascii="Times New Roman" w:hAnsi="Times New Roman" w:eastAsia="仿宋_GB2312" w:cs="Times New Roman"/>
          <w:sz w:val="32"/>
          <w:szCs w:val="32"/>
        </w:rPr>
        <w:t>被用于编制篱笆、工艺品等，尤其在园林景观、生态围栏等领域应用广泛</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具有生态环保、经济实用等特点。</w:t>
      </w:r>
      <w:r>
        <w:rPr>
          <w:rFonts w:hint="default" w:ascii="Times New Roman" w:hAnsi="Times New Roman" w:eastAsia="仿宋_GB2312" w:cs="Times New Roman"/>
          <w:sz w:val="32"/>
          <w:szCs w:val="32"/>
          <w:lang w:eastAsia="zh-CN"/>
        </w:rPr>
        <w:t>据统计，粤西地区岗柳编织技艺已被列入省级非物质文化遗产，仅广西博白县就集聚岗松加工企业43家，年产值超2.6亿元。随着生态文明建设推进，2022年生态围栏</w:t>
      </w:r>
      <w:r>
        <w:rPr>
          <w:rFonts w:hint="eastAsia" w:ascii="Times New Roman" w:hAnsi="Times New Roman" w:cs="Times New Roman"/>
          <w:sz w:val="32"/>
          <w:szCs w:val="32"/>
          <w:lang w:val="en-US" w:eastAsia="zh-CN"/>
        </w:rPr>
        <w:t>篱笆</w:t>
      </w:r>
      <w:r>
        <w:rPr>
          <w:rFonts w:hint="default" w:ascii="Times New Roman" w:hAnsi="Times New Roman" w:eastAsia="仿宋_GB2312" w:cs="Times New Roman"/>
          <w:sz w:val="32"/>
          <w:szCs w:val="32"/>
          <w:lang w:eastAsia="zh-CN"/>
        </w:rPr>
        <w:t>市场规模突破80亿元，其中</w:t>
      </w:r>
      <w:r>
        <w:rPr>
          <w:rFonts w:hint="eastAsia" w:ascii="Times New Roman" w:hAnsi="Times New Roman" w:cs="Times New Roman"/>
          <w:sz w:val="32"/>
          <w:szCs w:val="32"/>
          <w:lang w:val="en-US" w:eastAsia="zh-CN"/>
        </w:rPr>
        <w:t>由</w:t>
      </w:r>
      <w:r>
        <w:rPr>
          <w:rFonts w:hint="default" w:ascii="Times New Roman" w:hAnsi="Times New Roman" w:eastAsia="仿宋_GB2312" w:cs="Times New Roman"/>
          <w:sz w:val="32"/>
          <w:szCs w:val="32"/>
          <w:lang w:eastAsia="zh-CN"/>
        </w:rPr>
        <w:t>岗松</w:t>
      </w:r>
      <w:r>
        <w:rPr>
          <w:rFonts w:hint="default" w:ascii="Times New Roman" w:hAnsi="Times New Roman" w:eastAsia="仿宋_GB2312" w:cs="Times New Roman"/>
          <w:sz w:val="32"/>
          <w:szCs w:val="32"/>
          <w:lang w:val="en-US" w:eastAsia="zh-CN"/>
        </w:rPr>
        <w:t>编</w:t>
      </w:r>
      <w:r>
        <w:rPr>
          <w:rFonts w:hint="default" w:ascii="Times New Roman" w:hAnsi="Times New Roman" w:eastAsia="仿宋_GB2312" w:cs="Times New Roman"/>
          <w:sz w:val="32"/>
          <w:szCs w:val="32"/>
          <w:lang w:eastAsia="zh-CN"/>
        </w:rPr>
        <w:t>制</w:t>
      </w:r>
      <w:r>
        <w:rPr>
          <w:rFonts w:hint="eastAsia" w:ascii="Times New Roman" w:hAnsi="Times New Roman" w:cs="Times New Roman"/>
          <w:sz w:val="32"/>
          <w:szCs w:val="32"/>
          <w:lang w:val="en-US" w:eastAsia="zh-CN"/>
        </w:rPr>
        <w:t>的产</w:t>
      </w:r>
      <w:r>
        <w:rPr>
          <w:rFonts w:hint="default" w:ascii="Times New Roman" w:hAnsi="Times New Roman" w:eastAsia="仿宋_GB2312" w:cs="Times New Roman"/>
          <w:sz w:val="32"/>
          <w:szCs w:val="32"/>
          <w:lang w:eastAsia="zh-CN"/>
        </w:rPr>
        <w:t>品占比达32%，年复合增长率达18.5%，</w:t>
      </w:r>
      <w:r>
        <w:rPr>
          <w:rFonts w:hint="default" w:ascii="Times New Roman" w:hAnsi="Times New Roman" w:eastAsia="仿宋_GB2312" w:cs="Times New Roman"/>
          <w:sz w:val="32"/>
          <w:szCs w:val="32"/>
        </w:rPr>
        <w:t>市场需求逐年增长</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然而，当前岗松</w:t>
      </w:r>
      <w:r>
        <w:rPr>
          <w:rFonts w:hint="eastAsia" w:ascii="Times New Roman" w:hAnsi="Times New Roman" w:cs="Times New Roman"/>
          <w:sz w:val="32"/>
          <w:szCs w:val="32"/>
          <w:lang w:val="en-US" w:eastAsia="zh-CN"/>
        </w:rPr>
        <w:t>篱笆</w:t>
      </w:r>
      <w:r>
        <w:rPr>
          <w:rFonts w:hint="default" w:ascii="Times New Roman" w:hAnsi="Times New Roman" w:eastAsia="仿宋_GB2312" w:cs="Times New Roman"/>
          <w:sz w:val="32"/>
          <w:szCs w:val="32"/>
        </w:rPr>
        <w:t>编制品生产缺乏统一标准，产品质量参差不齐，存在原料处理不规范、编织工艺粗糙、甲醛含量超标等问题，制约了产业规模化发展和市场竞争力。此外，岗松资源的可持续利用与深加工技术亟需规范指导。</w:t>
      </w:r>
    </w:p>
    <w:p w14:paraId="2665370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通过制定《岗松篱笆编制品》团体标准，明确原料分级、生产工艺、质量要求、检验方法等内容，推动岗松</w:t>
      </w:r>
      <w:r>
        <w:rPr>
          <w:rFonts w:hint="eastAsia" w:ascii="Times New Roman" w:hAnsi="Times New Roman" w:cs="Times New Roman"/>
          <w:sz w:val="32"/>
          <w:szCs w:val="32"/>
          <w:lang w:val="en-US" w:eastAsia="zh-CN"/>
        </w:rPr>
        <w:t>篱笆</w:t>
      </w:r>
      <w:r>
        <w:rPr>
          <w:rFonts w:hint="default" w:ascii="Times New Roman" w:hAnsi="Times New Roman" w:eastAsia="仿宋_GB2312" w:cs="Times New Roman"/>
          <w:sz w:val="32"/>
          <w:szCs w:val="32"/>
        </w:rPr>
        <w:t>编制品生产标准化、规范化，提升产品附加值和市场认可度，促进农民增收及地方特色产业升级，对实现生态效益与经济效益双赢具有重要意义。</w:t>
      </w:r>
    </w:p>
    <w:p w14:paraId="4B7895C0">
      <w:pPr>
        <w:keepNext w:val="0"/>
        <w:keepLines w:val="0"/>
        <w:pageBreakBefore w:val="0"/>
        <w:widowControl w:val="0"/>
        <w:kinsoku/>
        <w:wordWrap/>
        <w:overflowPunct/>
        <w:topLinePunct w:val="0"/>
        <w:autoSpaceDE/>
        <w:autoSpaceDN/>
        <w:bidi w:val="0"/>
        <w:adjustRightInd w:val="0"/>
        <w:snapToGrid w:val="0"/>
        <w:spacing w:before="157" w:beforeLines="50" w:after="157" w:afterLines="50" w:line="560" w:lineRule="exact"/>
        <w:ind w:firstLine="640" w:firstLineChars="200"/>
        <w:jc w:val="both"/>
        <w:textAlignment w:val="auto"/>
        <w:outlineLvl w:val="0"/>
        <w:rPr>
          <w:rFonts w:hint="eastAsia" w:ascii="黑体" w:hAnsi="黑体" w:eastAsia="黑体" w:cs="黑体"/>
          <w:b w:val="0"/>
          <w:bCs/>
          <w:sz w:val="32"/>
          <w:szCs w:val="32"/>
          <w:lang w:eastAsia="zh-CN"/>
        </w:rPr>
      </w:pPr>
      <w:r>
        <w:rPr>
          <w:rFonts w:hint="eastAsia" w:ascii="黑体" w:hAnsi="黑体" w:eastAsia="黑体" w:cs="黑体"/>
          <w:b w:val="0"/>
          <w:bCs/>
          <w:sz w:val="32"/>
          <w:szCs w:val="32"/>
        </w:rPr>
        <w:t>三、主要起草过程</w:t>
      </w:r>
    </w:p>
    <w:p w14:paraId="44CF4386">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（一）成立标准编制工作组</w:t>
      </w:r>
    </w:p>
    <w:p w14:paraId="0E9B2D7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立项后，广西壮族自治区林业科学研究院成立了标准编制工作组，制定了起草编写方案和进度安排，明确任务职责，确定工作技术路线，开展标准研制工作，具体标准编制工作由广西壮族自治区林业科学研究院</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广西壮族自治区中医药研究院、广西中药质量标准研究重点实验室、广西壮族自治区国有钦廉林场、广西自贸区陇桂投资集团有限公司、防城港市绿松源生物科技有限公司、广西壮族自治区药品检验研究院、广西星银迪智药业有限公司等单位</w:t>
      </w:r>
      <w:r>
        <w:rPr>
          <w:rFonts w:hint="default" w:ascii="Times New Roman" w:hAnsi="Times New Roman" w:eastAsia="仿宋_GB2312" w:cs="Times New Roman"/>
          <w:sz w:val="32"/>
          <w:szCs w:val="32"/>
          <w:lang w:val="en-US" w:eastAsia="zh-CN"/>
        </w:rPr>
        <w:t>相关人员</w:t>
      </w:r>
      <w:r>
        <w:rPr>
          <w:rFonts w:hint="default" w:ascii="Times New Roman" w:hAnsi="Times New Roman" w:eastAsia="仿宋_GB2312" w:cs="Times New Roman"/>
          <w:sz w:val="32"/>
          <w:szCs w:val="32"/>
        </w:rPr>
        <w:t>开展</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包括</w:t>
      </w:r>
      <w:r>
        <w:rPr>
          <w:rFonts w:hint="default" w:ascii="Times New Roman" w:hAnsi="Times New Roman" w:eastAsia="仿宋_GB2312" w:cs="Times New Roman"/>
          <w:sz w:val="32"/>
          <w:szCs w:val="32"/>
        </w:rPr>
        <w:t>收集</w:t>
      </w:r>
      <w:r>
        <w:rPr>
          <w:rFonts w:hint="default" w:ascii="Times New Roman" w:hAnsi="Times New Roman" w:eastAsia="仿宋_GB2312" w:cs="Times New Roman"/>
          <w:sz w:val="32"/>
          <w:szCs w:val="32"/>
          <w:lang w:val="en-US" w:eastAsia="zh-CN"/>
        </w:rPr>
        <w:t>岗松发展现状、其他编织制品标准等</w:t>
      </w:r>
      <w:r>
        <w:rPr>
          <w:rFonts w:hint="default" w:ascii="Times New Roman" w:hAnsi="Times New Roman" w:eastAsia="仿宋_GB2312" w:cs="Times New Roman"/>
          <w:color w:val="000000"/>
          <w:spacing w:val="2"/>
          <w:sz w:val="32"/>
          <w:szCs w:val="32"/>
        </w:rPr>
        <w:t>文献资料</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组织</w:t>
      </w:r>
      <w:r>
        <w:rPr>
          <w:rFonts w:hint="default" w:ascii="Times New Roman" w:hAnsi="Times New Roman" w:eastAsia="仿宋_GB2312" w:cs="Times New Roman"/>
          <w:sz w:val="32"/>
          <w:szCs w:val="32"/>
        </w:rPr>
        <w:t>技术调研、编写草案等工作。</w:t>
      </w:r>
    </w:p>
    <w:p w14:paraId="2EF83DE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center"/>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岗松</w:t>
      </w:r>
      <w:r>
        <w:rPr>
          <w:rFonts w:hint="eastAsia" w:ascii="Times New Roman" w:hAnsi="Times New Roman" w:cs="Times New Roman"/>
          <w:sz w:val="32"/>
          <w:szCs w:val="32"/>
          <w:lang w:val="en-US" w:eastAsia="zh-CN"/>
        </w:rPr>
        <w:t>篱笆编制品团体</w:t>
      </w:r>
      <w:r>
        <w:rPr>
          <w:rFonts w:hint="default" w:ascii="Times New Roman" w:hAnsi="Times New Roman" w:eastAsia="仿宋_GB2312" w:cs="Times New Roman"/>
          <w:sz w:val="32"/>
          <w:szCs w:val="32"/>
          <w:lang w:eastAsia="zh-CN"/>
        </w:rPr>
        <w:t>标准主要起草人员</w:t>
      </w:r>
    </w:p>
    <w:tbl>
      <w:tblPr>
        <w:tblStyle w:val="5"/>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1401"/>
        <w:gridCol w:w="1861"/>
        <w:gridCol w:w="2564"/>
        <w:gridCol w:w="2801"/>
      </w:tblGrid>
      <w:tr w14:paraId="27350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blHeader/>
          <w:jc w:val="center"/>
        </w:trPr>
        <w:tc>
          <w:tcPr>
            <w:tcW w:w="1176" w:type="dxa"/>
            <w:noWrap w:val="0"/>
            <w:vAlign w:val="center"/>
          </w:tcPr>
          <w:p w14:paraId="4AA470D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研 制</w:t>
            </w:r>
          </w:p>
          <w:p w14:paraId="1DD8ACC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人 员</w:t>
            </w:r>
          </w:p>
        </w:tc>
        <w:tc>
          <w:tcPr>
            <w:tcW w:w="1401" w:type="dxa"/>
            <w:noWrap w:val="0"/>
            <w:vAlign w:val="center"/>
          </w:tcPr>
          <w:p w14:paraId="11B73AA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姓名</w:t>
            </w:r>
          </w:p>
        </w:tc>
        <w:tc>
          <w:tcPr>
            <w:tcW w:w="1861" w:type="dxa"/>
            <w:noWrap w:val="0"/>
            <w:vAlign w:val="center"/>
          </w:tcPr>
          <w:p w14:paraId="1DD330A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职务/职称</w:t>
            </w:r>
          </w:p>
        </w:tc>
        <w:tc>
          <w:tcPr>
            <w:tcW w:w="2564" w:type="dxa"/>
            <w:noWrap w:val="0"/>
            <w:vAlign w:val="center"/>
          </w:tcPr>
          <w:p w14:paraId="126829E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现从事</w:t>
            </w:r>
          </w:p>
          <w:p w14:paraId="71053C8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专  业</w:t>
            </w:r>
          </w:p>
        </w:tc>
        <w:tc>
          <w:tcPr>
            <w:tcW w:w="2801" w:type="dxa"/>
            <w:noWrap w:val="0"/>
            <w:vAlign w:val="center"/>
          </w:tcPr>
          <w:p w14:paraId="6E4D871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所在单位</w:t>
            </w:r>
          </w:p>
        </w:tc>
      </w:tr>
      <w:tr w14:paraId="20726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76" w:type="dxa"/>
            <w:noWrap w:val="0"/>
            <w:vAlign w:val="center"/>
          </w:tcPr>
          <w:p w14:paraId="76BC136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  目</w:t>
            </w:r>
          </w:p>
          <w:p w14:paraId="4E0757E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负责人</w:t>
            </w:r>
          </w:p>
        </w:tc>
        <w:tc>
          <w:tcPr>
            <w:tcW w:w="1401" w:type="dxa"/>
            <w:noWrap w:val="0"/>
            <w:vAlign w:val="center"/>
          </w:tcPr>
          <w:p w14:paraId="1350498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李军集</w:t>
            </w:r>
          </w:p>
        </w:tc>
        <w:tc>
          <w:tcPr>
            <w:tcW w:w="1861" w:type="dxa"/>
            <w:noWrap w:val="0"/>
            <w:vAlign w:val="center"/>
          </w:tcPr>
          <w:p w14:paraId="358FFFC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高级工程师</w:t>
            </w:r>
          </w:p>
        </w:tc>
        <w:tc>
          <w:tcPr>
            <w:tcW w:w="2564" w:type="dxa"/>
            <w:noWrap w:val="0"/>
            <w:vAlign w:val="center"/>
          </w:tcPr>
          <w:p w14:paraId="52683C0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林产化工</w:t>
            </w:r>
          </w:p>
        </w:tc>
        <w:tc>
          <w:tcPr>
            <w:tcW w:w="2801" w:type="dxa"/>
            <w:noWrap w:val="0"/>
            <w:vAlign w:val="center"/>
          </w:tcPr>
          <w:p w14:paraId="46AD8FC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广西壮族自治区林业科学研究院</w:t>
            </w:r>
          </w:p>
        </w:tc>
      </w:tr>
      <w:tr w14:paraId="337A0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restart"/>
            <w:noWrap w:val="0"/>
            <w:vAlign w:val="center"/>
          </w:tcPr>
          <w:p w14:paraId="13AF8101">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主</w:t>
            </w:r>
          </w:p>
          <w:p w14:paraId="36C42DA9">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要</w:t>
            </w:r>
          </w:p>
          <w:p w14:paraId="3C9A2391">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参</w:t>
            </w:r>
          </w:p>
          <w:p w14:paraId="5A07FA5D">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加</w:t>
            </w:r>
          </w:p>
          <w:p w14:paraId="5CEC1609">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人</w:t>
            </w:r>
          </w:p>
          <w:p w14:paraId="2F292C75">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员</w:t>
            </w:r>
          </w:p>
        </w:tc>
        <w:tc>
          <w:tcPr>
            <w:tcW w:w="1401" w:type="dxa"/>
            <w:shd w:val="clear" w:color="auto" w:fill="auto"/>
            <w:noWrap w:val="0"/>
            <w:vAlign w:val="center"/>
          </w:tcPr>
          <w:p w14:paraId="04A4BD32">
            <w:pPr>
              <w:jc w:val="center"/>
              <w:rPr>
                <w:rFonts w:hint="default" w:ascii="Calibri" w:hAnsi="Calibri" w:eastAsia="仿宋_GB2312" w:cs="Times New Roman"/>
                <w:kern w:val="2"/>
                <w:sz w:val="32"/>
                <w:szCs w:val="32"/>
                <w:lang w:val="en-US" w:eastAsia="zh-CN" w:bidi="ar-SA"/>
              </w:rPr>
            </w:pPr>
            <w:r>
              <w:rPr>
                <w:rFonts w:hint="eastAsia" w:cs="Times New Roman"/>
                <w:kern w:val="2"/>
                <w:sz w:val="32"/>
                <w:szCs w:val="32"/>
                <w:lang w:val="en-US" w:eastAsia="zh-CN" w:bidi="ar-SA"/>
              </w:rPr>
              <w:t>高璇</w:t>
            </w:r>
          </w:p>
        </w:tc>
        <w:tc>
          <w:tcPr>
            <w:tcW w:w="1861" w:type="dxa"/>
            <w:shd w:val="clear" w:color="auto" w:fill="auto"/>
            <w:noWrap w:val="0"/>
            <w:vAlign w:val="center"/>
          </w:tcPr>
          <w:p w14:paraId="7E9731A3">
            <w:pPr>
              <w:jc w:val="center"/>
              <w:rPr>
                <w:rFonts w:hint="default" w:ascii="Calibri" w:hAnsi="Calibri" w:eastAsia="仿宋_GB2312" w:cs="Times New Roman"/>
                <w:kern w:val="2"/>
                <w:sz w:val="32"/>
                <w:szCs w:val="32"/>
                <w:lang w:val="en-US" w:eastAsia="zh-CN" w:bidi="ar-SA"/>
              </w:rPr>
            </w:pPr>
            <w:r>
              <w:rPr>
                <w:rFonts w:hint="eastAsia" w:cs="Times New Roman"/>
                <w:kern w:val="2"/>
                <w:sz w:val="32"/>
                <w:szCs w:val="32"/>
                <w:lang w:val="en-US" w:eastAsia="zh-CN" w:bidi="ar-SA"/>
              </w:rPr>
              <w:t>工程师</w:t>
            </w:r>
          </w:p>
        </w:tc>
        <w:tc>
          <w:tcPr>
            <w:tcW w:w="2564" w:type="dxa"/>
            <w:shd w:val="clear" w:color="auto" w:fill="auto"/>
            <w:noWrap w:val="0"/>
            <w:vAlign w:val="center"/>
          </w:tcPr>
          <w:p w14:paraId="18B7F1E1">
            <w:pPr>
              <w:jc w:val="center"/>
              <w:rPr>
                <w:rFonts w:hint="default" w:ascii="Calibri" w:hAnsi="Calibri" w:eastAsia="仿宋_GB2312" w:cs="Times New Roman"/>
                <w:kern w:val="2"/>
                <w:sz w:val="32"/>
                <w:szCs w:val="32"/>
                <w:lang w:val="en-US" w:eastAsia="zh-CN" w:bidi="ar-SA"/>
              </w:rPr>
            </w:pPr>
            <w:r>
              <w:rPr>
                <w:rFonts w:hint="eastAsia" w:cs="Times New Roman"/>
                <w:kern w:val="2"/>
                <w:sz w:val="32"/>
                <w:szCs w:val="32"/>
                <w:lang w:val="en-US" w:eastAsia="zh-CN" w:bidi="ar-SA"/>
              </w:rPr>
              <w:t>林产加工</w:t>
            </w:r>
          </w:p>
        </w:tc>
        <w:tc>
          <w:tcPr>
            <w:tcW w:w="2801" w:type="dxa"/>
            <w:shd w:val="clear" w:color="auto" w:fill="auto"/>
            <w:noWrap w:val="0"/>
            <w:vAlign w:val="center"/>
          </w:tcPr>
          <w:p w14:paraId="486BAA1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sz w:val="32"/>
                <w:szCs w:val="32"/>
              </w:rPr>
              <w:t>广西壮族自治区林业科学研究院</w:t>
            </w:r>
          </w:p>
        </w:tc>
      </w:tr>
      <w:tr w14:paraId="3D492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noWrap w:val="0"/>
            <w:vAlign w:val="center"/>
          </w:tcPr>
          <w:p w14:paraId="5CE0F9FE">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default" w:ascii="Times New Roman" w:hAnsi="Times New Roman" w:eastAsia="仿宋_GB2312" w:cs="Times New Roman"/>
                <w:sz w:val="32"/>
                <w:szCs w:val="32"/>
              </w:rPr>
            </w:pPr>
          </w:p>
        </w:tc>
        <w:tc>
          <w:tcPr>
            <w:tcW w:w="1401" w:type="dxa"/>
            <w:shd w:val="clear" w:color="auto" w:fill="auto"/>
            <w:noWrap w:val="0"/>
            <w:vAlign w:val="center"/>
          </w:tcPr>
          <w:p w14:paraId="27DCD9A4">
            <w:pPr>
              <w:jc w:val="center"/>
              <w:rPr>
                <w:rFonts w:hint="default" w:ascii="Calibri" w:hAnsi="Calibri" w:eastAsia="仿宋_GB2312" w:cs="Times New Roman"/>
                <w:kern w:val="2"/>
                <w:sz w:val="32"/>
                <w:szCs w:val="32"/>
                <w:lang w:val="en-US" w:eastAsia="zh-CN" w:bidi="ar-SA"/>
              </w:rPr>
            </w:pPr>
            <w:r>
              <w:rPr>
                <w:rFonts w:hint="eastAsia" w:eastAsia="仿宋_GB2312"/>
                <w:sz w:val="32"/>
                <w:szCs w:val="32"/>
              </w:rPr>
              <w:t>袁健童</w:t>
            </w:r>
          </w:p>
        </w:tc>
        <w:tc>
          <w:tcPr>
            <w:tcW w:w="1861" w:type="dxa"/>
            <w:shd w:val="clear" w:color="auto" w:fill="auto"/>
            <w:noWrap w:val="0"/>
            <w:vAlign w:val="center"/>
          </w:tcPr>
          <w:p w14:paraId="6FA26A2C">
            <w:pPr>
              <w:jc w:val="center"/>
              <w:rPr>
                <w:rFonts w:hint="default" w:ascii="Calibri" w:hAnsi="Calibri" w:eastAsia="仿宋_GB2312" w:cs="Times New Roman"/>
                <w:kern w:val="2"/>
                <w:sz w:val="32"/>
                <w:szCs w:val="32"/>
                <w:lang w:val="en-US" w:eastAsia="zh-CN" w:bidi="ar-SA"/>
              </w:rPr>
            </w:pPr>
            <w:r>
              <w:rPr>
                <w:rFonts w:hint="eastAsia" w:eastAsia="仿宋_GB2312"/>
                <w:sz w:val="32"/>
                <w:szCs w:val="32"/>
              </w:rPr>
              <w:t>助理研究员</w:t>
            </w:r>
          </w:p>
        </w:tc>
        <w:tc>
          <w:tcPr>
            <w:tcW w:w="2564" w:type="dxa"/>
            <w:shd w:val="clear" w:color="auto" w:fill="auto"/>
            <w:noWrap w:val="0"/>
            <w:vAlign w:val="center"/>
          </w:tcPr>
          <w:p w14:paraId="107CD7E3">
            <w:pPr>
              <w:jc w:val="center"/>
              <w:rPr>
                <w:rFonts w:hint="default" w:ascii="Calibri" w:hAnsi="Calibri" w:eastAsia="仿宋_GB2312" w:cs="Times New Roman"/>
                <w:kern w:val="2"/>
                <w:sz w:val="32"/>
                <w:szCs w:val="32"/>
                <w:lang w:val="en-US" w:eastAsia="zh-CN" w:bidi="ar-SA"/>
              </w:rPr>
            </w:pPr>
            <w:r>
              <w:rPr>
                <w:rFonts w:hint="eastAsia" w:eastAsia="仿宋_GB2312"/>
                <w:sz w:val="32"/>
                <w:szCs w:val="32"/>
              </w:rPr>
              <w:t>中药民族药质量标准研究</w:t>
            </w:r>
          </w:p>
        </w:tc>
        <w:tc>
          <w:tcPr>
            <w:tcW w:w="2801" w:type="dxa"/>
            <w:shd w:val="clear" w:color="auto" w:fill="auto"/>
            <w:noWrap w:val="0"/>
            <w:vAlign w:val="center"/>
          </w:tcPr>
          <w:p w14:paraId="4AE94DA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sz w:val="32"/>
                <w:szCs w:val="32"/>
              </w:rPr>
              <w:t>广西中药质量标准研究重点实验室</w:t>
            </w:r>
          </w:p>
        </w:tc>
      </w:tr>
      <w:tr w14:paraId="5CB3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noWrap w:val="0"/>
            <w:vAlign w:val="center"/>
          </w:tcPr>
          <w:p w14:paraId="531ADBD2">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default" w:ascii="Times New Roman" w:hAnsi="Times New Roman" w:eastAsia="仿宋_GB2312" w:cs="Times New Roman"/>
                <w:sz w:val="32"/>
                <w:szCs w:val="32"/>
              </w:rPr>
            </w:pPr>
          </w:p>
        </w:tc>
        <w:tc>
          <w:tcPr>
            <w:tcW w:w="1401" w:type="dxa"/>
            <w:shd w:val="clear" w:color="auto" w:fill="auto"/>
            <w:noWrap w:val="0"/>
            <w:vAlign w:val="center"/>
          </w:tcPr>
          <w:p w14:paraId="5BC5F5F8">
            <w:pPr>
              <w:jc w:val="center"/>
              <w:rPr>
                <w:rFonts w:hint="default" w:ascii="Calibri" w:hAnsi="Calibri" w:eastAsia="仿宋_GB2312" w:cs="Times New Roman"/>
                <w:kern w:val="2"/>
                <w:sz w:val="32"/>
                <w:szCs w:val="32"/>
                <w:lang w:val="en-US" w:eastAsia="zh-CN" w:bidi="ar-SA"/>
              </w:rPr>
            </w:pPr>
            <w:r>
              <w:rPr>
                <w:rFonts w:hint="eastAsia" w:cs="Times New Roman"/>
                <w:kern w:val="2"/>
                <w:sz w:val="32"/>
                <w:szCs w:val="32"/>
                <w:lang w:val="en-US" w:eastAsia="zh-CN" w:bidi="ar-SA"/>
              </w:rPr>
              <w:t>韦升坚</w:t>
            </w:r>
          </w:p>
        </w:tc>
        <w:tc>
          <w:tcPr>
            <w:tcW w:w="1861" w:type="dxa"/>
            <w:shd w:val="clear" w:color="auto" w:fill="auto"/>
            <w:noWrap w:val="0"/>
            <w:vAlign w:val="center"/>
          </w:tcPr>
          <w:p w14:paraId="0CD05C8E">
            <w:pPr>
              <w:jc w:val="center"/>
              <w:rPr>
                <w:rFonts w:hint="default" w:ascii="Calibri" w:hAnsi="Calibri" w:eastAsia="仿宋_GB2312" w:cs="Times New Roman"/>
                <w:kern w:val="2"/>
                <w:sz w:val="32"/>
                <w:szCs w:val="32"/>
                <w:lang w:val="en-US" w:eastAsia="zh-CN" w:bidi="ar-SA"/>
              </w:rPr>
            </w:pPr>
            <w:r>
              <w:rPr>
                <w:rFonts w:hint="eastAsia" w:cs="Times New Roman"/>
                <w:kern w:val="2"/>
                <w:sz w:val="32"/>
                <w:szCs w:val="32"/>
                <w:lang w:val="en-US" w:eastAsia="zh-CN" w:bidi="ar-SA"/>
              </w:rPr>
              <w:t>主任技师</w:t>
            </w:r>
          </w:p>
        </w:tc>
        <w:tc>
          <w:tcPr>
            <w:tcW w:w="2564" w:type="dxa"/>
            <w:shd w:val="clear" w:color="auto" w:fill="auto"/>
            <w:noWrap w:val="0"/>
            <w:vAlign w:val="center"/>
          </w:tcPr>
          <w:p w14:paraId="6DFCE9E3">
            <w:pPr>
              <w:jc w:val="center"/>
              <w:rPr>
                <w:rFonts w:hint="default" w:ascii="Calibri" w:hAnsi="Calibri" w:eastAsia="仿宋_GB2312" w:cs="Times New Roman"/>
                <w:kern w:val="2"/>
                <w:sz w:val="32"/>
                <w:szCs w:val="32"/>
                <w:lang w:val="en-US" w:eastAsia="zh-CN" w:bidi="ar-SA"/>
              </w:rPr>
            </w:pPr>
            <w:r>
              <w:rPr>
                <w:rFonts w:hint="eastAsia" w:cs="Times New Roman"/>
                <w:kern w:val="2"/>
                <w:sz w:val="32"/>
                <w:szCs w:val="32"/>
                <w:lang w:val="en-US" w:eastAsia="zh-CN" w:bidi="ar-SA"/>
              </w:rPr>
              <w:t>分析化学</w:t>
            </w:r>
          </w:p>
        </w:tc>
        <w:tc>
          <w:tcPr>
            <w:tcW w:w="2801" w:type="dxa"/>
            <w:shd w:val="clear" w:color="auto" w:fill="auto"/>
            <w:noWrap w:val="0"/>
            <w:vAlign w:val="center"/>
          </w:tcPr>
          <w:p w14:paraId="73E50BD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sz w:val="32"/>
                <w:szCs w:val="32"/>
                <w:lang w:val="en-US" w:eastAsia="zh-CN"/>
              </w:rPr>
              <w:t>广西-东盟食品检验检测中心</w:t>
            </w:r>
          </w:p>
        </w:tc>
      </w:tr>
      <w:tr w14:paraId="3AD22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noWrap w:val="0"/>
            <w:vAlign w:val="center"/>
          </w:tcPr>
          <w:p w14:paraId="0CE8D0BC">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default" w:ascii="Times New Roman" w:hAnsi="Times New Roman" w:eastAsia="仿宋_GB2312" w:cs="Times New Roman"/>
                <w:sz w:val="32"/>
                <w:szCs w:val="32"/>
              </w:rPr>
            </w:pPr>
          </w:p>
        </w:tc>
        <w:tc>
          <w:tcPr>
            <w:tcW w:w="1401" w:type="dxa"/>
            <w:shd w:val="clear" w:color="auto" w:fill="auto"/>
            <w:noWrap w:val="0"/>
            <w:vAlign w:val="center"/>
          </w:tcPr>
          <w:p w14:paraId="49E5CF92">
            <w:pPr>
              <w:jc w:val="center"/>
              <w:rPr>
                <w:rFonts w:hint="default" w:ascii="Calibri" w:hAnsi="Calibri" w:eastAsia="仿宋_GB2312" w:cs="Times New Roman"/>
                <w:kern w:val="2"/>
                <w:sz w:val="32"/>
                <w:szCs w:val="32"/>
                <w:lang w:val="en-US" w:eastAsia="zh-CN" w:bidi="ar-SA"/>
              </w:rPr>
            </w:pPr>
            <w:r>
              <w:rPr>
                <w:rFonts w:hint="eastAsia" w:eastAsia="仿宋_GB2312"/>
                <w:sz w:val="32"/>
                <w:szCs w:val="32"/>
              </w:rPr>
              <w:t>黄晓露</w:t>
            </w:r>
          </w:p>
        </w:tc>
        <w:tc>
          <w:tcPr>
            <w:tcW w:w="1861" w:type="dxa"/>
            <w:shd w:val="clear" w:color="auto" w:fill="auto"/>
            <w:noWrap w:val="0"/>
            <w:vAlign w:val="center"/>
          </w:tcPr>
          <w:p w14:paraId="76D6D25B">
            <w:pPr>
              <w:jc w:val="center"/>
              <w:rPr>
                <w:rFonts w:hint="default" w:ascii="Calibri" w:hAnsi="Calibri" w:eastAsia="仿宋_GB2312" w:cs="Times New Roman"/>
                <w:kern w:val="2"/>
                <w:sz w:val="32"/>
                <w:szCs w:val="32"/>
                <w:lang w:val="en-US" w:eastAsia="zh-CN" w:bidi="ar-SA"/>
              </w:rPr>
            </w:pPr>
            <w:r>
              <w:rPr>
                <w:rFonts w:hint="eastAsia" w:eastAsia="仿宋_GB2312"/>
                <w:sz w:val="32"/>
                <w:szCs w:val="32"/>
              </w:rPr>
              <w:t>高级工程师</w:t>
            </w:r>
          </w:p>
        </w:tc>
        <w:tc>
          <w:tcPr>
            <w:tcW w:w="2564" w:type="dxa"/>
            <w:shd w:val="clear" w:color="auto" w:fill="auto"/>
            <w:noWrap w:val="0"/>
            <w:vAlign w:val="center"/>
          </w:tcPr>
          <w:p w14:paraId="430AAF1B">
            <w:pPr>
              <w:jc w:val="center"/>
              <w:rPr>
                <w:rFonts w:hint="default" w:ascii="Calibri" w:hAnsi="Calibri" w:eastAsia="仿宋_GB2312" w:cs="Times New Roman"/>
                <w:kern w:val="2"/>
                <w:sz w:val="32"/>
                <w:szCs w:val="32"/>
                <w:lang w:val="en-US" w:eastAsia="zh-CN" w:bidi="ar-SA"/>
              </w:rPr>
            </w:pPr>
            <w:r>
              <w:rPr>
                <w:rFonts w:hint="eastAsia" w:eastAsia="仿宋_GB2312"/>
                <w:sz w:val="32"/>
                <w:szCs w:val="32"/>
              </w:rPr>
              <w:t>生态学</w:t>
            </w:r>
          </w:p>
        </w:tc>
        <w:tc>
          <w:tcPr>
            <w:tcW w:w="2801" w:type="dxa"/>
            <w:shd w:val="clear" w:color="auto" w:fill="auto"/>
            <w:noWrap w:val="0"/>
            <w:vAlign w:val="center"/>
          </w:tcPr>
          <w:p w14:paraId="72811C9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sz w:val="32"/>
                <w:szCs w:val="32"/>
              </w:rPr>
              <w:t>广西壮族自治区林业科学研究院</w:t>
            </w:r>
          </w:p>
        </w:tc>
      </w:tr>
      <w:tr w14:paraId="6B40A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noWrap w:val="0"/>
            <w:vAlign w:val="center"/>
          </w:tcPr>
          <w:p w14:paraId="28F0AF18">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default" w:ascii="Times New Roman" w:hAnsi="Times New Roman" w:eastAsia="仿宋_GB2312" w:cs="Times New Roman"/>
                <w:sz w:val="32"/>
                <w:szCs w:val="32"/>
              </w:rPr>
            </w:pPr>
          </w:p>
        </w:tc>
        <w:tc>
          <w:tcPr>
            <w:tcW w:w="1401" w:type="dxa"/>
            <w:shd w:val="clear" w:color="auto" w:fill="auto"/>
            <w:noWrap w:val="0"/>
            <w:vAlign w:val="center"/>
          </w:tcPr>
          <w:p w14:paraId="7E4CADE1">
            <w:pPr>
              <w:jc w:val="center"/>
              <w:rPr>
                <w:rFonts w:hint="default" w:ascii="Calibri" w:hAnsi="Calibri" w:eastAsia="仿宋_GB2312" w:cs="Times New Roman"/>
                <w:kern w:val="2"/>
                <w:sz w:val="32"/>
                <w:szCs w:val="32"/>
                <w:lang w:val="en-US" w:eastAsia="zh-CN" w:bidi="ar-SA"/>
              </w:rPr>
            </w:pPr>
            <w:r>
              <w:rPr>
                <w:rFonts w:hint="eastAsia" w:eastAsia="仿宋_GB2312"/>
                <w:sz w:val="32"/>
                <w:szCs w:val="32"/>
              </w:rPr>
              <w:t>梁文汇</w:t>
            </w:r>
          </w:p>
        </w:tc>
        <w:tc>
          <w:tcPr>
            <w:tcW w:w="1861" w:type="dxa"/>
            <w:shd w:val="clear" w:color="auto" w:fill="auto"/>
            <w:noWrap w:val="0"/>
            <w:vAlign w:val="center"/>
          </w:tcPr>
          <w:p w14:paraId="4A267744">
            <w:pPr>
              <w:jc w:val="center"/>
              <w:rPr>
                <w:rFonts w:hint="default" w:ascii="Calibri" w:hAnsi="Calibri" w:eastAsia="仿宋_GB2312" w:cs="Times New Roman"/>
                <w:kern w:val="2"/>
                <w:sz w:val="32"/>
                <w:szCs w:val="32"/>
                <w:lang w:val="en-US" w:eastAsia="zh-CN" w:bidi="ar-SA"/>
              </w:rPr>
            </w:pPr>
            <w:r>
              <w:rPr>
                <w:rFonts w:hint="eastAsia" w:eastAsia="仿宋_GB2312"/>
                <w:sz w:val="32"/>
                <w:szCs w:val="32"/>
              </w:rPr>
              <w:t>正高级工程师</w:t>
            </w:r>
          </w:p>
        </w:tc>
        <w:tc>
          <w:tcPr>
            <w:tcW w:w="2564" w:type="dxa"/>
            <w:shd w:val="clear" w:color="auto" w:fill="auto"/>
            <w:noWrap w:val="0"/>
            <w:vAlign w:val="center"/>
          </w:tcPr>
          <w:p w14:paraId="74259FE3">
            <w:pPr>
              <w:jc w:val="center"/>
              <w:rPr>
                <w:rFonts w:hint="default" w:ascii="Calibri" w:hAnsi="Calibri" w:eastAsia="仿宋_GB2312" w:cs="Times New Roman"/>
                <w:kern w:val="2"/>
                <w:sz w:val="32"/>
                <w:szCs w:val="32"/>
                <w:lang w:val="en-US" w:eastAsia="zh-CN" w:bidi="ar-SA"/>
              </w:rPr>
            </w:pPr>
            <w:r>
              <w:rPr>
                <w:rFonts w:hint="eastAsia" w:eastAsia="仿宋_GB2312"/>
                <w:sz w:val="32"/>
                <w:szCs w:val="32"/>
              </w:rPr>
              <w:t>林学</w:t>
            </w:r>
          </w:p>
        </w:tc>
        <w:tc>
          <w:tcPr>
            <w:tcW w:w="2801" w:type="dxa"/>
            <w:shd w:val="clear" w:color="auto" w:fill="auto"/>
            <w:noWrap w:val="0"/>
            <w:vAlign w:val="center"/>
          </w:tcPr>
          <w:p w14:paraId="71C4EC4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sz w:val="32"/>
                <w:szCs w:val="32"/>
              </w:rPr>
              <w:t>广西壮族自治区林业科学研究院</w:t>
            </w:r>
          </w:p>
        </w:tc>
      </w:tr>
      <w:tr w14:paraId="44BA3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noWrap w:val="0"/>
            <w:vAlign w:val="center"/>
          </w:tcPr>
          <w:p w14:paraId="34D05A39">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default" w:ascii="Times New Roman" w:hAnsi="Times New Roman" w:eastAsia="仿宋_GB2312" w:cs="Times New Roman"/>
                <w:sz w:val="32"/>
                <w:szCs w:val="32"/>
              </w:rPr>
            </w:pPr>
          </w:p>
        </w:tc>
        <w:tc>
          <w:tcPr>
            <w:tcW w:w="1401" w:type="dxa"/>
            <w:shd w:val="clear" w:color="auto" w:fill="auto"/>
            <w:noWrap w:val="0"/>
            <w:vAlign w:val="center"/>
          </w:tcPr>
          <w:p w14:paraId="63C69DA0">
            <w:pPr>
              <w:jc w:val="center"/>
              <w:rPr>
                <w:rFonts w:hint="default" w:ascii="Calibri" w:hAnsi="Calibri" w:eastAsia="仿宋_GB2312" w:cs="Times New Roman"/>
                <w:kern w:val="2"/>
                <w:sz w:val="32"/>
                <w:szCs w:val="32"/>
                <w:lang w:val="en-US" w:eastAsia="zh-CN" w:bidi="ar-SA"/>
              </w:rPr>
            </w:pPr>
            <w:r>
              <w:rPr>
                <w:rFonts w:hint="eastAsia" w:eastAsia="仿宋_GB2312"/>
                <w:sz w:val="32"/>
                <w:szCs w:val="32"/>
              </w:rPr>
              <w:t>廖</w:t>
            </w:r>
            <w:r>
              <w:rPr>
                <w:rFonts w:hint="eastAsia"/>
                <w:sz w:val="32"/>
                <w:szCs w:val="32"/>
                <w:lang w:val="en-US" w:eastAsia="zh-CN"/>
              </w:rPr>
              <w:t>健</w:t>
            </w:r>
            <w:r>
              <w:rPr>
                <w:rFonts w:hint="eastAsia" w:eastAsia="仿宋_GB2312"/>
                <w:sz w:val="32"/>
                <w:szCs w:val="32"/>
              </w:rPr>
              <w:t>明</w:t>
            </w:r>
          </w:p>
        </w:tc>
        <w:tc>
          <w:tcPr>
            <w:tcW w:w="1861" w:type="dxa"/>
            <w:shd w:val="clear" w:color="auto" w:fill="auto"/>
            <w:noWrap w:val="0"/>
            <w:vAlign w:val="center"/>
          </w:tcPr>
          <w:p w14:paraId="121A935B">
            <w:pPr>
              <w:jc w:val="center"/>
              <w:rPr>
                <w:rFonts w:hint="default" w:ascii="Calibri" w:hAnsi="Calibri" w:eastAsia="仿宋_GB2312" w:cs="Times New Roman"/>
                <w:kern w:val="2"/>
                <w:sz w:val="32"/>
                <w:szCs w:val="32"/>
                <w:lang w:val="en-US" w:eastAsia="zh-CN" w:bidi="ar-SA"/>
              </w:rPr>
            </w:pPr>
            <w:r>
              <w:rPr>
                <w:rFonts w:hint="eastAsia" w:eastAsia="仿宋_GB2312"/>
                <w:sz w:val="32"/>
                <w:szCs w:val="32"/>
              </w:rPr>
              <w:t>正高级工程师</w:t>
            </w:r>
          </w:p>
        </w:tc>
        <w:tc>
          <w:tcPr>
            <w:tcW w:w="2564" w:type="dxa"/>
            <w:shd w:val="clear" w:color="auto" w:fill="auto"/>
            <w:noWrap w:val="0"/>
            <w:vAlign w:val="center"/>
          </w:tcPr>
          <w:p w14:paraId="085033E1">
            <w:pPr>
              <w:jc w:val="center"/>
              <w:rPr>
                <w:rFonts w:hint="default" w:ascii="Calibri" w:hAnsi="Calibri" w:eastAsia="仿宋_GB2312" w:cs="Times New Roman"/>
                <w:kern w:val="2"/>
                <w:sz w:val="32"/>
                <w:szCs w:val="32"/>
                <w:lang w:val="en-US" w:eastAsia="zh-CN" w:bidi="ar-SA"/>
              </w:rPr>
            </w:pPr>
            <w:r>
              <w:rPr>
                <w:rFonts w:hint="eastAsia" w:eastAsia="仿宋_GB2312"/>
                <w:sz w:val="32"/>
                <w:szCs w:val="32"/>
              </w:rPr>
              <w:t>经济林业学</w:t>
            </w:r>
          </w:p>
        </w:tc>
        <w:tc>
          <w:tcPr>
            <w:tcW w:w="2801" w:type="dxa"/>
            <w:shd w:val="clear" w:color="auto" w:fill="auto"/>
            <w:noWrap w:val="0"/>
            <w:vAlign w:val="center"/>
          </w:tcPr>
          <w:p w14:paraId="1113D05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sz w:val="32"/>
                <w:szCs w:val="32"/>
                <w:lang w:val="en-US" w:eastAsia="zh-CN"/>
              </w:rPr>
              <w:t>广西壮族自治区林业科学研究院</w:t>
            </w:r>
          </w:p>
        </w:tc>
      </w:tr>
      <w:tr w14:paraId="3DFC6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noWrap w:val="0"/>
            <w:vAlign w:val="center"/>
          </w:tcPr>
          <w:p w14:paraId="3DED1E05">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default" w:ascii="Times New Roman" w:hAnsi="Times New Roman" w:eastAsia="仿宋_GB2312" w:cs="Times New Roman"/>
                <w:sz w:val="32"/>
                <w:szCs w:val="32"/>
              </w:rPr>
            </w:pPr>
          </w:p>
        </w:tc>
        <w:tc>
          <w:tcPr>
            <w:tcW w:w="1401" w:type="dxa"/>
            <w:shd w:val="clear" w:color="auto" w:fill="auto"/>
            <w:noWrap w:val="0"/>
            <w:vAlign w:val="center"/>
          </w:tcPr>
          <w:p w14:paraId="68EECC31">
            <w:pPr>
              <w:jc w:val="center"/>
              <w:rPr>
                <w:rFonts w:hint="default" w:ascii="Calibri" w:hAnsi="Calibri" w:eastAsia="仿宋_GB2312" w:cs="Times New Roman"/>
                <w:kern w:val="2"/>
                <w:sz w:val="32"/>
                <w:szCs w:val="32"/>
                <w:lang w:val="en-US" w:eastAsia="zh-CN" w:bidi="ar-SA"/>
              </w:rPr>
            </w:pPr>
            <w:r>
              <w:rPr>
                <w:rFonts w:hint="eastAsia" w:eastAsia="仿宋_GB2312"/>
                <w:sz w:val="32"/>
                <w:szCs w:val="32"/>
              </w:rPr>
              <w:t>曾祥艳</w:t>
            </w:r>
          </w:p>
        </w:tc>
        <w:tc>
          <w:tcPr>
            <w:tcW w:w="1861" w:type="dxa"/>
            <w:shd w:val="clear" w:color="auto" w:fill="auto"/>
            <w:noWrap w:val="0"/>
            <w:vAlign w:val="center"/>
          </w:tcPr>
          <w:p w14:paraId="1EC88954">
            <w:pPr>
              <w:jc w:val="center"/>
              <w:rPr>
                <w:rFonts w:hint="default" w:ascii="Calibri" w:hAnsi="Calibri" w:eastAsia="仿宋_GB2312" w:cs="Times New Roman"/>
                <w:kern w:val="2"/>
                <w:sz w:val="32"/>
                <w:szCs w:val="32"/>
                <w:lang w:val="en-US" w:eastAsia="zh-CN" w:bidi="ar-SA"/>
              </w:rPr>
            </w:pPr>
            <w:r>
              <w:rPr>
                <w:rFonts w:hint="eastAsia" w:eastAsia="仿宋_GB2312"/>
                <w:sz w:val="32"/>
                <w:szCs w:val="32"/>
              </w:rPr>
              <w:t>高级工程师</w:t>
            </w:r>
          </w:p>
        </w:tc>
        <w:tc>
          <w:tcPr>
            <w:tcW w:w="2564" w:type="dxa"/>
            <w:shd w:val="clear" w:color="auto" w:fill="auto"/>
            <w:noWrap w:val="0"/>
            <w:vAlign w:val="center"/>
          </w:tcPr>
          <w:p w14:paraId="62582F94">
            <w:pPr>
              <w:jc w:val="center"/>
              <w:rPr>
                <w:rFonts w:hint="default" w:ascii="Calibri" w:hAnsi="Calibri" w:eastAsia="仿宋_GB2312" w:cs="Times New Roman"/>
                <w:kern w:val="2"/>
                <w:sz w:val="32"/>
                <w:szCs w:val="32"/>
                <w:lang w:val="en-US" w:eastAsia="zh-CN" w:bidi="ar-SA"/>
              </w:rPr>
            </w:pPr>
            <w:r>
              <w:rPr>
                <w:rFonts w:hint="eastAsia" w:eastAsia="仿宋_GB2312"/>
                <w:sz w:val="32"/>
                <w:szCs w:val="32"/>
              </w:rPr>
              <w:t>经济林业学</w:t>
            </w:r>
          </w:p>
        </w:tc>
        <w:tc>
          <w:tcPr>
            <w:tcW w:w="2801" w:type="dxa"/>
            <w:shd w:val="clear" w:color="auto" w:fill="auto"/>
            <w:noWrap w:val="0"/>
            <w:vAlign w:val="center"/>
          </w:tcPr>
          <w:p w14:paraId="13D8A3A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sz w:val="32"/>
                <w:szCs w:val="32"/>
                <w:lang w:val="en-US" w:eastAsia="zh-CN"/>
              </w:rPr>
              <w:t>广西壮族自治区林业科学研究院</w:t>
            </w:r>
          </w:p>
        </w:tc>
      </w:tr>
      <w:tr w14:paraId="5DC2B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noWrap w:val="0"/>
            <w:vAlign w:val="center"/>
          </w:tcPr>
          <w:p w14:paraId="6B71C51F">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default" w:ascii="Times New Roman" w:hAnsi="Times New Roman" w:eastAsia="仿宋_GB2312" w:cs="Times New Roman"/>
                <w:sz w:val="32"/>
                <w:szCs w:val="32"/>
              </w:rPr>
            </w:pPr>
          </w:p>
        </w:tc>
        <w:tc>
          <w:tcPr>
            <w:tcW w:w="1401" w:type="dxa"/>
            <w:shd w:val="clear" w:color="auto" w:fill="auto"/>
            <w:noWrap w:val="0"/>
            <w:vAlign w:val="center"/>
          </w:tcPr>
          <w:p w14:paraId="4766628D">
            <w:pPr>
              <w:jc w:val="center"/>
              <w:rPr>
                <w:rFonts w:hint="default" w:ascii="Calibri" w:hAnsi="Calibri" w:eastAsia="仿宋_GB2312" w:cs="Times New Roman"/>
                <w:kern w:val="2"/>
                <w:sz w:val="32"/>
                <w:szCs w:val="32"/>
                <w:lang w:val="en-US" w:eastAsia="zh-CN" w:bidi="ar-SA"/>
              </w:rPr>
            </w:pPr>
            <w:r>
              <w:rPr>
                <w:rFonts w:hint="eastAsia" w:eastAsia="仿宋_GB2312"/>
                <w:sz w:val="32"/>
                <w:szCs w:val="32"/>
              </w:rPr>
              <w:t>李开祥</w:t>
            </w:r>
          </w:p>
        </w:tc>
        <w:tc>
          <w:tcPr>
            <w:tcW w:w="1861" w:type="dxa"/>
            <w:shd w:val="clear" w:color="auto" w:fill="auto"/>
            <w:noWrap w:val="0"/>
            <w:vAlign w:val="center"/>
          </w:tcPr>
          <w:p w14:paraId="2FB97DD6">
            <w:pPr>
              <w:jc w:val="center"/>
              <w:rPr>
                <w:rFonts w:hint="default" w:ascii="Calibri" w:hAnsi="Calibri" w:eastAsia="仿宋_GB2312" w:cs="Times New Roman"/>
                <w:kern w:val="2"/>
                <w:sz w:val="32"/>
                <w:szCs w:val="32"/>
                <w:lang w:val="en-US" w:eastAsia="zh-CN" w:bidi="ar-SA"/>
              </w:rPr>
            </w:pPr>
            <w:r>
              <w:rPr>
                <w:rFonts w:hint="eastAsia" w:eastAsia="仿宋_GB2312"/>
                <w:sz w:val="32"/>
                <w:szCs w:val="32"/>
              </w:rPr>
              <w:t>教授级高级工程师</w:t>
            </w:r>
          </w:p>
        </w:tc>
        <w:tc>
          <w:tcPr>
            <w:tcW w:w="2564" w:type="dxa"/>
            <w:shd w:val="clear" w:color="auto" w:fill="auto"/>
            <w:noWrap w:val="0"/>
            <w:vAlign w:val="center"/>
          </w:tcPr>
          <w:p w14:paraId="7440CB1D">
            <w:pPr>
              <w:jc w:val="center"/>
              <w:rPr>
                <w:rFonts w:hint="default" w:ascii="Calibri" w:hAnsi="Calibri" w:eastAsia="仿宋_GB2312" w:cs="Times New Roman"/>
                <w:kern w:val="2"/>
                <w:sz w:val="32"/>
                <w:szCs w:val="32"/>
                <w:lang w:val="en-US" w:eastAsia="zh-CN" w:bidi="ar-SA"/>
              </w:rPr>
            </w:pPr>
            <w:r>
              <w:rPr>
                <w:rFonts w:hint="eastAsia" w:eastAsia="仿宋_GB2312"/>
                <w:sz w:val="32"/>
                <w:szCs w:val="32"/>
              </w:rPr>
              <w:t>经济林业学</w:t>
            </w:r>
          </w:p>
        </w:tc>
        <w:tc>
          <w:tcPr>
            <w:tcW w:w="2801" w:type="dxa"/>
            <w:shd w:val="clear" w:color="auto" w:fill="auto"/>
            <w:noWrap w:val="0"/>
            <w:vAlign w:val="center"/>
          </w:tcPr>
          <w:p w14:paraId="6B18F03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sz w:val="32"/>
                <w:szCs w:val="32"/>
                <w:lang w:val="en-US" w:eastAsia="zh-CN"/>
              </w:rPr>
              <w:t>广西壮族自治区林业科学研究院</w:t>
            </w:r>
          </w:p>
        </w:tc>
      </w:tr>
      <w:tr w14:paraId="6834F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noWrap w:val="0"/>
            <w:vAlign w:val="center"/>
          </w:tcPr>
          <w:p w14:paraId="5AAE733F">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default" w:ascii="Times New Roman" w:hAnsi="Times New Roman" w:eastAsia="仿宋_GB2312" w:cs="Times New Roman"/>
                <w:sz w:val="32"/>
                <w:szCs w:val="32"/>
              </w:rPr>
            </w:pPr>
          </w:p>
        </w:tc>
        <w:tc>
          <w:tcPr>
            <w:tcW w:w="1401" w:type="dxa"/>
            <w:shd w:val="clear" w:color="auto" w:fill="auto"/>
            <w:noWrap w:val="0"/>
            <w:vAlign w:val="center"/>
          </w:tcPr>
          <w:p w14:paraId="4E44EB40">
            <w:pPr>
              <w:jc w:val="center"/>
              <w:rPr>
                <w:rFonts w:hint="default" w:ascii="Calibri" w:hAnsi="Calibri" w:eastAsia="仿宋_GB2312" w:cs="Times New Roman"/>
                <w:kern w:val="2"/>
                <w:sz w:val="32"/>
                <w:szCs w:val="32"/>
                <w:lang w:val="en-US" w:eastAsia="zh-CN" w:bidi="ar-SA"/>
              </w:rPr>
            </w:pPr>
            <w:r>
              <w:rPr>
                <w:rFonts w:hint="eastAsia" w:cs="Times New Roman"/>
                <w:kern w:val="2"/>
                <w:sz w:val="32"/>
                <w:szCs w:val="32"/>
                <w:lang w:val="en-US" w:eastAsia="zh-CN" w:bidi="ar-SA"/>
              </w:rPr>
              <w:t>刘丽欢</w:t>
            </w:r>
          </w:p>
        </w:tc>
        <w:tc>
          <w:tcPr>
            <w:tcW w:w="1861" w:type="dxa"/>
            <w:shd w:val="clear" w:color="auto" w:fill="auto"/>
            <w:noWrap w:val="0"/>
            <w:vAlign w:val="center"/>
          </w:tcPr>
          <w:p w14:paraId="24A95F29">
            <w:pPr>
              <w:jc w:val="center"/>
              <w:rPr>
                <w:rFonts w:hint="default" w:ascii="Calibri" w:hAnsi="Calibri" w:eastAsia="仿宋_GB2312" w:cs="Times New Roman"/>
                <w:kern w:val="2"/>
                <w:sz w:val="32"/>
                <w:szCs w:val="32"/>
                <w:lang w:val="en-US" w:eastAsia="zh-CN" w:bidi="ar-SA"/>
              </w:rPr>
            </w:pPr>
            <w:bookmarkStart w:id="0" w:name="_GoBack"/>
            <w:bookmarkEnd w:id="0"/>
            <w:r>
              <w:rPr>
                <w:rFonts w:hint="default" w:ascii="Calibri" w:hAnsi="Calibri" w:eastAsia="仿宋_GB2312" w:cs="Times New Roman"/>
                <w:kern w:val="2"/>
                <w:sz w:val="32"/>
                <w:szCs w:val="32"/>
                <w:lang w:val="en-US" w:eastAsia="zh-CN" w:bidi="ar-SA"/>
              </w:rPr>
              <w:t>副教授</w:t>
            </w:r>
          </w:p>
        </w:tc>
        <w:tc>
          <w:tcPr>
            <w:tcW w:w="2564" w:type="dxa"/>
            <w:shd w:val="clear" w:color="auto" w:fill="auto"/>
            <w:noWrap w:val="0"/>
            <w:vAlign w:val="center"/>
          </w:tcPr>
          <w:p w14:paraId="4C7F7AE1">
            <w:pPr>
              <w:jc w:val="center"/>
              <w:rPr>
                <w:rFonts w:hint="default" w:ascii="Calibri" w:hAnsi="Calibri" w:eastAsia="仿宋_GB2312" w:cs="Times New Roman"/>
                <w:kern w:val="2"/>
                <w:sz w:val="32"/>
                <w:szCs w:val="32"/>
                <w:lang w:val="en-US" w:eastAsia="zh-CN" w:bidi="ar-SA"/>
              </w:rPr>
            </w:pPr>
            <w:r>
              <w:rPr>
                <w:rFonts w:hint="eastAsia" w:cs="Times New Roman"/>
                <w:kern w:val="2"/>
                <w:sz w:val="32"/>
                <w:szCs w:val="32"/>
                <w:lang w:val="en-US" w:eastAsia="zh-CN" w:bidi="ar-SA"/>
              </w:rPr>
              <w:t>项目管理</w:t>
            </w:r>
          </w:p>
        </w:tc>
        <w:tc>
          <w:tcPr>
            <w:tcW w:w="2801" w:type="dxa"/>
            <w:shd w:val="clear" w:color="auto" w:fill="auto"/>
            <w:noWrap w:val="0"/>
            <w:vAlign w:val="center"/>
          </w:tcPr>
          <w:p w14:paraId="4964E22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sz w:val="32"/>
                <w:szCs w:val="32"/>
                <w:lang w:val="en-US" w:eastAsia="zh-CN"/>
              </w:rPr>
              <w:t>广西国际商务职业技术学院</w:t>
            </w:r>
          </w:p>
        </w:tc>
      </w:tr>
      <w:tr w14:paraId="02481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noWrap w:val="0"/>
            <w:vAlign w:val="center"/>
          </w:tcPr>
          <w:p w14:paraId="7F30EEBE">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default" w:ascii="Times New Roman" w:hAnsi="Times New Roman" w:eastAsia="仿宋_GB2312" w:cs="Times New Roman"/>
                <w:sz w:val="32"/>
                <w:szCs w:val="32"/>
              </w:rPr>
            </w:pPr>
          </w:p>
        </w:tc>
        <w:tc>
          <w:tcPr>
            <w:tcW w:w="1401" w:type="dxa"/>
            <w:shd w:val="clear" w:color="auto" w:fill="auto"/>
            <w:noWrap w:val="0"/>
            <w:vAlign w:val="center"/>
          </w:tcPr>
          <w:p w14:paraId="1065E861">
            <w:pPr>
              <w:jc w:val="center"/>
              <w:rPr>
                <w:rFonts w:hint="default" w:ascii="Calibri" w:hAnsi="Calibri" w:eastAsia="仿宋_GB2312" w:cs="Times New Roman"/>
                <w:kern w:val="2"/>
                <w:sz w:val="32"/>
                <w:szCs w:val="32"/>
                <w:lang w:val="en-US" w:eastAsia="zh-CN" w:bidi="ar-SA"/>
              </w:rPr>
            </w:pPr>
            <w:r>
              <w:rPr>
                <w:rFonts w:hint="eastAsia" w:eastAsia="仿宋_GB2312"/>
                <w:sz w:val="32"/>
                <w:szCs w:val="32"/>
              </w:rPr>
              <w:t>頼沛荣</w:t>
            </w:r>
          </w:p>
        </w:tc>
        <w:tc>
          <w:tcPr>
            <w:tcW w:w="1861" w:type="dxa"/>
            <w:shd w:val="clear" w:color="auto" w:fill="auto"/>
            <w:noWrap w:val="0"/>
            <w:vAlign w:val="center"/>
          </w:tcPr>
          <w:p w14:paraId="47DB71F7">
            <w:pPr>
              <w:jc w:val="center"/>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rPr>
              <w:t>工程师</w:t>
            </w:r>
          </w:p>
        </w:tc>
        <w:tc>
          <w:tcPr>
            <w:tcW w:w="2564" w:type="dxa"/>
            <w:shd w:val="clear" w:color="auto" w:fill="auto"/>
            <w:noWrap w:val="0"/>
            <w:vAlign w:val="center"/>
          </w:tcPr>
          <w:p w14:paraId="40C9C152">
            <w:pPr>
              <w:jc w:val="center"/>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rPr>
              <w:t>企业管理</w:t>
            </w:r>
          </w:p>
        </w:tc>
        <w:tc>
          <w:tcPr>
            <w:tcW w:w="2801" w:type="dxa"/>
            <w:shd w:val="clear" w:color="auto" w:fill="auto"/>
            <w:noWrap w:val="0"/>
            <w:vAlign w:val="center"/>
          </w:tcPr>
          <w:p w14:paraId="0A6DBF8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sz w:val="32"/>
                <w:szCs w:val="32"/>
              </w:rPr>
              <w:t>防城港市绿松源生物科技有限公司</w:t>
            </w:r>
          </w:p>
        </w:tc>
      </w:tr>
      <w:tr w14:paraId="2A55C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noWrap w:val="0"/>
            <w:vAlign w:val="center"/>
          </w:tcPr>
          <w:p w14:paraId="16D6E02B">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default" w:ascii="Times New Roman" w:hAnsi="Times New Roman" w:eastAsia="仿宋_GB2312" w:cs="Times New Roman"/>
                <w:sz w:val="32"/>
                <w:szCs w:val="32"/>
              </w:rPr>
            </w:pPr>
          </w:p>
        </w:tc>
        <w:tc>
          <w:tcPr>
            <w:tcW w:w="1401" w:type="dxa"/>
            <w:shd w:val="clear" w:color="auto" w:fill="auto"/>
            <w:noWrap w:val="0"/>
            <w:vAlign w:val="center"/>
          </w:tcPr>
          <w:p w14:paraId="677C69A0">
            <w:pPr>
              <w:jc w:val="center"/>
              <w:rPr>
                <w:rFonts w:hint="default" w:ascii="Calibri" w:hAnsi="Calibri" w:eastAsia="仿宋_GB2312" w:cs="Times New Roman"/>
                <w:kern w:val="2"/>
                <w:sz w:val="32"/>
                <w:szCs w:val="32"/>
                <w:lang w:val="en-US" w:eastAsia="zh-CN" w:bidi="ar-SA"/>
              </w:rPr>
            </w:pPr>
            <w:r>
              <w:rPr>
                <w:rFonts w:hint="eastAsia" w:eastAsia="仿宋_GB2312"/>
                <w:sz w:val="32"/>
                <w:szCs w:val="32"/>
              </w:rPr>
              <w:t>柴玲</w:t>
            </w:r>
          </w:p>
        </w:tc>
        <w:tc>
          <w:tcPr>
            <w:tcW w:w="1861" w:type="dxa"/>
            <w:shd w:val="clear" w:color="auto" w:fill="auto"/>
            <w:noWrap w:val="0"/>
            <w:vAlign w:val="center"/>
          </w:tcPr>
          <w:p w14:paraId="712B2CB2">
            <w:pPr>
              <w:jc w:val="center"/>
              <w:rPr>
                <w:rFonts w:hint="default" w:ascii="Calibri" w:hAnsi="Calibri" w:eastAsia="仿宋_GB2312" w:cs="Times New Roman"/>
                <w:kern w:val="2"/>
                <w:sz w:val="32"/>
                <w:szCs w:val="32"/>
                <w:lang w:val="en-US" w:eastAsia="zh-CN" w:bidi="ar-SA"/>
              </w:rPr>
            </w:pPr>
            <w:r>
              <w:rPr>
                <w:rFonts w:hint="eastAsia" w:eastAsia="仿宋_GB2312"/>
                <w:sz w:val="32"/>
                <w:szCs w:val="32"/>
              </w:rPr>
              <w:t>副研究员</w:t>
            </w:r>
          </w:p>
        </w:tc>
        <w:tc>
          <w:tcPr>
            <w:tcW w:w="2564" w:type="dxa"/>
            <w:shd w:val="clear" w:color="auto" w:fill="auto"/>
            <w:noWrap w:val="0"/>
            <w:vAlign w:val="center"/>
          </w:tcPr>
          <w:p w14:paraId="715002D1">
            <w:pPr>
              <w:jc w:val="center"/>
              <w:rPr>
                <w:rFonts w:hint="default" w:ascii="Calibri" w:hAnsi="Calibri" w:eastAsia="仿宋_GB2312" w:cs="Times New Roman"/>
                <w:kern w:val="2"/>
                <w:sz w:val="32"/>
                <w:szCs w:val="32"/>
                <w:lang w:val="en-US" w:eastAsia="zh-CN" w:bidi="ar-SA"/>
              </w:rPr>
            </w:pPr>
            <w:r>
              <w:rPr>
                <w:rFonts w:hint="eastAsia" w:eastAsia="仿宋_GB2312"/>
                <w:sz w:val="32"/>
                <w:szCs w:val="32"/>
              </w:rPr>
              <w:t>中药学</w:t>
            </w:r>
          </w:p>
        </w:tc>
        <w:tc>
          <w:tcPr>
            <w:tcW w:w="2801" w:type="dxa"/>
            <w:shd w:val="clear" w:color="auto" w:fill="auto"/>
            <w:noWrap w:val="0"/>
            <w:vAlign w:val="center"/>
          </w:tcPr>
          <w:p w14:paraId="5A89B34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sz w:val="32"/>
                <w:szCs w:val="32"/>
              </w:rPr>
              <w:t>广西中药质量标准研究重点实验室</w:t>
            </w:r>
          </w:p>
        </w:tc>
      </w:tr>
      <w:tr w14:paraId="27FAC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noWrap w:val="0"/>
            <w:vAlign w:val="center"/>
          </w:tcPr>
          <w:p w14:paraId="007EBB8E">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default" w:ascii="Times New Roman" w:hAnsi="Times New Roman" w:eastAsia="仿宋_GB2312" w:cs="Times New Roman"/>
                <w:sz w:val="32"/>
                <w:szCs w:val="32"/>
              </w:rPr>
            </w:pPr>
          </w:p>
        </w:tc>
        <w:tc>
          <w:tcPr>
            <w:tcW w:w="1401" w:type="dxa"/>
            <w:shd w:val="clear" w:color="auto" w:fill="auto"/>
            <w:noWrap w:val="0"/>
            <w:vAlign w:val="center"/>
          </w:tcPr>
          <w:p w14:paraId="7D80CC9B">
            <w:pPr>
              <w:jc w:val="center"/>
              <w:rPr>
                <w:rFonts w:hint="default" w:ascii="Calibri" w:hAnsi="Calibri" w:eastAsia="仿宋_GB2312" w:cs="Times New Roman"/>
                <w:kern w:val="2"/>
                <w:sz w:val="32"/>
                <w:szCs w:val="32"/>
                <w:lang w:val="en-US" w:eastAsia="zh-CN" w:bidi="ar-SA"/>
              </w:rPr>
            </w:pPr>
            <w:r>
              <w:rPr>
                <w:rFonts w:hint="eastAsia" w:eastAsia="仿宋_GB2312"/>
                <w:sz w:val="32"/>
                <w:szCs w:val="32"/>
              </w:rPr>
              <w:t>刘布鸣</w:t>
            </w:r>
          </w:p>
        </w:tc>
        <w:tc>
          <w:tcPr>
            <w:tcW w:w="1861" w:type="dxa"/>
            <w:shd w:val="clear" w:color="auto" w:fill="auto"/>
            <w:noWrap w:val="0"/>
            <w:vAlign w:val="center"/>
          </w:tcPr>
          <w:p w14:paraId="288ED0EE">
            <w:pPr>
              <w:jc w:val="center"/>
              <w:rPr>
                <w:rFonts w:hint="default" w:ascii="Calibri" w:hAnsi="Calibri" w:eastAsia="仿宋_GB2312" w:cs="Times New Roman"/>
                <w:kern w:val="2"/>
                <w:sz w:val="32"/>
                <w:szCs w:val="32"/>
                <w:lang w:val="en-US" w:eastAsia="zh-CN" w:bidi="ar-SA"/>
              </w:rPr>
            </w:pPr>
            <w:r>
              <w:rPr>
                <w:rFonts w:hint="eastAsia" w:eastAsia="仿宋_GB2312"/>
                <w:sz w:val="32"/>
                <w:szCs w:val="32"/>
              </w:rPr>
              <w:t>研究员</w:t>
            </w:r>
          </w:p>
        </w:tc>
        <w:tc>
          <w:tcPr>
            <w:tcW w:w="2564" w:type="dxa"/>
            <w:shd w:val="clear" w:color="auto" w:fill="auto"/>
            <w:noWrap w:val="0"/>
            <w:vAlign w:val="center"/>
          </w:tcPr>
          <w:p w14:paraId="40BD8222">
            <w:pPr>
              <w:jc w:val="center"/>
              <w:rPr>
                <w:rFonts w:hint="default" w:ascii="Calibri" w:hAnsi="Calibri" w:eastAsia="仿宋_GB2312" w:cs="Times New Roman"/>
                <w:kern w:val="2"/>
                <w:sz w:val="32"/>
                <w:szCs w:val="32"/>
                <w:lang w:val="en-US" w:eastAsia="zh-CN" w:bidi="ar-SA"/>
              </w:rPr>
            </w:pPr>
            <w:r>
              <w:rPr>
                <w:rFonts w:hint="eastAsia" w:eastAsia="仿宋_GB2312"/>
                <w:sz w:val="32"/>
                <w:szCs w:val="32"/>
              </w:rPr>
              <w:t>中药质量标准研究</w:t>
            </w:r>
          </w:p>
        </w:tc>
        <w:tc>
          <w:tcPr>
            <w:tcW w:w="2801" w:type="dxa"/>
            <w:shd w:val="clear" w:color="auto" w:fill="auto"/>
            <w:noWrap w:val="0"/>
            <w:vAlign w:val="center"/>
          </w:tcPr>
          <w:p w14:paraId="0BB3E89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sz w:val="32"/>
                <w:szCs w:val="32"/>
              </w:rPr>
              <w:t>广西中药质量标准研究重点实验室</w:t>
            </w:r>
          </w:p>
        </w:tc>
      </w:tr>
      <w:tr w14:paraId="24C05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noWrap w:val="0"/>
            <w:vAlign w:val="center"/>
          </w:tcPr>
          <w:p w14:paraId="1232F676">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default" w:ascii="Times New Roman" w:hAnsi="Times New Roman" w:eastAsia="仿宋_GB2312" w:cs="Times New Roman"/>
                <w:sz w:val="32"/>
                <w:szCs w:val="32"/>
              </w:rPr>
            </w:pPr>
          </w:p>
        </w:tc>
        <w:tc>
          <w:tcPr>
            <w:tcW w:w="1401" w:type="dxa"/>
            <w:shd w:val="clear" w:color="auto" w:fill="auto"/>
            <w:noWrap w:val="0"/>
            <w:vAlign w:val="center"/>
          </w:tcPr>
          <w:p w14:paraId="106CF826">
            <w:pPr>
              <w:jc w:val="center"/>
              <w:rPr>
                <w:rFonts w:hint="default" w:ascii="Calibri" w:hAnsi="Calibri" w:eastAsia="仿宋_GB2312" w:cs="Times New Roman"/>
                <w:kern w:val="2"/>
                <w:sz w:val="32"/>
                <w:szCs w:val="32"/>
                <w:lang w:val="en-US" w:eastAsia="zh-CN" w:bidi="ar-SA"/>
              </w:rPr>
            </w:pPr>
            <w:r>
              <w:rPr>
                <w:rFonts w:hint="eastAsia" w:eastAsia="仿宋_GB2312"/>
                <w:sz w:val="32"/>
                <w:szCs w:val="32"/>
              </w:rPr>
              <w:t>卢宝鹏</w:t>
            </w:r>
          </w:p>
        </w:tc>
        <w:tc>
          <w:tcPr>
            <w:tcW w:w="1861" w:type="dxa"/>
            <w:shd w:val="clear" w:color="auto" w:fill="auto"/>
            <w:noWrap w:val="0"/>
            <w:vAlign w:val="center"/>
          </w:tcPr>
          <w:p w14:paraId="5967494D">
            <w:pPr>
              <w:jc w:val="center"/>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rPr>
              <w:t>高级工程师</w:t>
            </w:r>
          </w:p>
        </w:tc>
        <w:tc>
          <w:tcPr>
            <w:tcW w:w="2564" w:type="dxa"/>
            <w:shd w:val="clear" w:color="auto" w:fill="auto"/>
            <w:noWrap w:val="0"/>
            <w:vAlign w:val="center"/>
          </w:tcPr>
          <w:p w14:paraId="66D0852C">
            <w:pPr>
              <w:jc w:val="center"/>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rPr>
              <w:t>企业管理</w:t>
            </w:r>
          </w:p>
        </w:tc>
        <w:tc>
          <w:tcPr>
            <w:tcW w:w="2801" w:type="dxa"/>
            <w:shd w:val="clear" w:color="auto" w:fill="auto"/>
            <w:noWrap w:val="0"/>
            <w:vAlign w:val="center"/>
          </w:tcPr>
          <w:p w14:paraId="5A41AFD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sz w:val="32"/>
                <w:szCs w:val="32"/>
              </w:rPr>
              <w:t>广西自贸区陇桂投资集团有限公司</w:t>
            </w:r>
          </w:p>
        </w:tc>
      </w:tr>
      <w:tr w14:paraId="3D1B6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noWrap w:val="0"/>
            <w:vAlign w:val="center"/>
          </w:tcPr>
          <w:p w14:paraId="43DC985C">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default" w:ascii="Times New Roman" w:hAnsi="Times New Roman" w:eastAsia="仿宋_GB2312" w:cs="Times New Roman"/>
                <w:sz w:val="32"/>
                <w:szCs w:val="32"/>
              </w:rPr>
            </w:pPr>
          </w:p>
        </w:tc>
        <w:tc>
          <w:tcPr>
            <w:tcW w:w="1401" w:type="dxa"/>
            <w:shd w:val="clear" w:color="auto" w:fill="auto"/>
            <w:noWrap w:val="0"/>
            <w:vAlign w:val="center"/>
          </w:tcPr>
          <w:p w14:paraId="4446BA39">
            <w:pPr>
              <w:jc w:val="center"/>
              <w:rPr>
                <w:rFonts w:hint="default" w:ascii="Calibri" w:hAnsi="Calibri" w:eastAsia="仿宋_GB2312" w:cs="Times New Roman"/>
                <w:kern w:val="2"/>
                <w:sz w:val="32"/>
                <w:szCs w:val="32"/>
                <w:lang w:val="en-US" w:eastAsia="zh-CN" w:bidi="ar-SA"/>
              </w:rPr>
            </w:pPr>
            <w:r>
              <w:rPr>
                <w:rFonts w:hint="eastAsia" w:cs="Times New Roman"/>
                <w:kern w:val="2"/>
                <w:sz w:val="32"/>
                <w:szCs w:val="32"/>
                <w:lang w:val="en-US" w:eastAsia="zh-CN" w:bidi="ar-SA"/>
              </w:rPr>
              <w:t>赵海鹄</w:t>
            </w:r>
          </w:p>
        </w:tc>
        <w:tc>
          <w:tcPr>
            <w:tcW w:w="1861" w:type="dxa"/>
            <w:shd w:val="clear" w:color="auto" w:fill="auto"/>
            <w:noWrap w:val="0"/>
            <w:vAlign w:val="center"/>
          </w:tcPr>
          <w:p w14:paraId="2556A293">
            <w:pPr>
              <w:jc w:val="center"/>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sz w:val="32"/>
                <w:szCs w:val="32"/>
              </w:rPr>
              <w:t>高级工程师</w:t>
            </w:r>
          </w:p>
        </w:tc>
        <w:tc>
          <w:tcPr>
            <w:tcW w:w="2564" w:type="dxa"/>
            <w:shd w:val="clear" w:color="auto" w:fill="auto"/>
            <w:noWrap w:val="0"/>
            <w:vAlign w:val="center"/>
          </w:tcPr>
          <w:p w14:paraId="44C7BFD8">
            <w:pPr>
              <w:jc w:val="center"/>
              <w:rPr>
                <w:rFonts w:hint="default" w:ascii="Times New Roman" w:hAnsi="Times New Roman" w:eastAsia="仿宋_GB2312" w:cs="Times New Roman"/>
                <w:kern w:val="2"/>
                <w:sz w:val="32"/>
                <w:szCs w:val="32"/>
                <w:lang w:val="en-US" w:eastAsia="zh-CN" w:bidi="ar-SA"/>
              </w:rPr>
            </w:pPr>
            <w:r>
              <w:rPr>
                <w:rFonts w:hint="eastAsia" w:ascii="Times New Roman" w:hAnsi="Times New Roman" w:cs="Times New Roman"/>
                <w:kern w:val="2"/>
                <w:sz w:val="32"/>
                <w:szCs w:val="32"/>
                <w:lang w:val="en-US" w:eastAsia="zh-CN" w:bidi="ar-SA"/>
              </w:rPr>
              <w:t>林学</w:t>
            </w:r>
          </w:p>
        </w:tc>
        <w:tc>
          <w:tcPr>
            <w:tcW w:w="2801" w:type="dxa"/>
            <w:shd w:val="clear" w:color="auto" w:fill="auto"/>
            <w:noWrap w:val="0"/>
            <w:vAlign w:val="center"/>
          </w:tcPr>
          <w:p w14:paraId="5A32112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sz w:val="32"/>
                <w:szCs w:val="32"/>
              </w:rPr>
              <w:t>广西壮族自治区林业科学研究院</w:t>
            </w:r>
          </w:p>
        </w:tc>
      </w:tr>
      <w:tr w14:paraId="12054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noWrap w:val="0"/>
            <w:vAlign w:val="center"/>
          </w:tcPr>
          <w:p w14:paraId="272881E4">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default" w:ascii="Times New Roman" w:hAnsi="Times New Roman" w:eastAsia="仿宋_GB2312" w:cs="Times New Roman"/>
                <w:sz w:val="32"/>
                <w:szCs w:val="32"/>
              </w:rPr>
            </w:pPr>
          </w:p>
        </w:tc>
        <w:tc>
          <w:tcPr>
            <w:tcW w:w="1401" w:type="dxa"/>
            <w:shd w:val="clear" w:color="auto" w:fill="auto"/>
            <w:noWrap w:val="0"/>
            <w:vAlign w:val="center"/>
          </w:tcPr>
          <w:p w14:paraId="100E2923">
            <w:pPr>
              <w:jc w:val="center"/>
              <w:rPr>
                <w:rFonts w:hint="default" w:ascii="Calibri" w:hAnsi="Calibri" w:eastAsia="仿宋_GB2312" w:cs="Times New Roman"/>
                <w:kern w:val="2"/>
                <w:sz w:val="32"/>
                <w:szCs w:val="32"/>
                <w:lang w:val="en-US" w:eastAsia="zh-CN" w:bidi="ar-SA"/>
              </w:rPr>
            </w:pPr>
            <w:r>
              <w:rPr>
                <w:rFonts w:hint="eastAsia" w:cs="Times New Roman"/>
                <w:kern w:val="2"/>
                <w:sz w:val="32"/>
                <w:szCs w:val="32"/>
                <w:lang w:val="en-US" w:eastAsia="zh-CN" w:bidi="ar-SA"/>
              </w:rPr>
              <w:t>蒋志林</w:t>
            </w:r>
          </w:p>
        </w:tc>
        <w:tc>
          <w:tcPr>
            <w:tcW w:w="1861" w:type="dxa"/>
            <w:shd w:val="clear" w:color="auto" w:fill="auto"/>
            <w:noWrap w:val="0"/>
            <w:vAlign w:val="center"/>
          </w:tcPr>
          <w:p w14:paraId="0208160A">
            <w:pPr>
              <w:jc w:val="center"/>
              <w:rPr>
                <w:rFonts w:hint="default" w:ascii="Times New Roman" w:hAnsi="Times New Roman" w:eastAsia="仿宋_GB2312" w:cs="Times New Roman"/>
                <w:kern w:val="2"/>
                <w:sz w:val="32"/>
                <w:szCs w:val="32"/>
                <w:lang w:val="en-US" w:eastAsia="zh-CN" w:bidi="ar-SA"/>
              </w:rPr>
            </w:pPr>
            <w:r>
              <w:rPr>
                <w:rFonts w:hint="eastAsia" w:ascii="Times New Roman" w:hAnsi="Times New Roman" w:cs="Times New Roman"/>
                <w:kern w:val="2"/>
                <w:sz w:val="32"/>
                <w:szCs w:val="32"/>
                <w:lang w:val="en-US" w:eastAsia="zh-CN" w:bidi="ar-SA"/>
              </w:rPr>
              <w:t>阻力工程师</w:t>
            </w:r>
          </w:p>
        </w:tc>
        <w:tc>
          <w:tcPr>
            <w:tcW w:w="2564" w:type="dxa"/>
            <w:shd w:val="clear" w:color="auto" w:fill="auto"/>
            <w:noWrap w:val="0"/>
            <w:vAlign w:val="center"/>
          </w:tcPr>
          <w:p w14:paraId="160651E1">
            <w:pPr>
              <w:jc w:val="center"/>
              <w:rPr>
                <w:rFonts w:hint="default" w:ascii="Times New Roman" w:hAnsi="Times New Roman" w:eastAsia="仿宋_GB2312" w:cs="Times New Roman"/>
                <w:kern w:val="2"/>
                <w:sz w:val="32"/>
                <w:szCs w:val="32"/>
                <w:lang w:val="en-US" w:eastAsia="zh-CN" w:bidi="ar-SA"/>
              </w:rPr>
            </w:pPr>
            <w:r>
              <w:rPr>
                <w:rFonts w:hint="eastAsia" w:ascii="Times New Roman" w:hAnsi="Times New Roman" w:cs="Times New Roman"/>
                <w:kern w:val="2"/>
                <w:sz w:val="32"/>
                <w:szCs w:val="32"/>
                <w:lang w:val="en-US" w:eastAsia="zh-CN" w:bidi="ar-SA"/>
              </w:rPr>
              <w:t>分析化学</w:t>
            </w:r>
          </w:p>
        </w:tc>
        <w:tc>
          <w:tcPr>
            <w:tcW w:w="2801" w:type="dxa"/>
            <w:shd w:val="clear" w:color="auto" w:fill="auto"/>
            <w:noWrap w:val="0"/>
            <w:vAlign w:val="center"/>
          </w:tcPr>
          <w:p w14:paraId="39D118E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sz w:val="32"/>
                <w:szCs w:val="32"/>
              </w:rPr>
              <w:t>广西壮族自治区林业科学研究院</w:t>
            </w:r>
          </w:p>
        </w:tc>
      </w:tr>
      <w:tr w14:paraId="76358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176" w:type="dxa"/>
            <w:vMerge w:val="continue"/>
            <w:noWrap w:val="0"/>
            <w:vAlign w:val="center"/>
          </w:tcPr>
          <w:p w14:paraId="43ABA5C1">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default" w:ascii="Times New Roman" w:hAnsi="Times New Roman" w:eastAsia="仿宋_GB2312" w:cs="Times New Roman"/>
                <w:sz w:val="32"/>
                <w:szCs w:val="32"/>
              </w:rPr>
            </w:pPr>
          </w:p>
        </w:tc>
        <w:tc>
          <w:tcPr>
            <w:tcW w:w="1401" w:type="dxa"/>
            <w:shd w:val="clear" w:color="auto" w:fill="auto"/>
            <w:noWrap w:val="0"/>
            <w:vAlign w:val="center"/>
          </w:tcPr>
          <w:p w14:paraId="49F51C55">
            <w:pPr>
              <w:jc w:val="center"/>
              <w:rPr>
                <w:rFonts w:hint="default" w:ascii="Calibri" w:hAnsi="Calibri" w:eastAsia="仿宋_GB2312" w:cs="Times New Roman"/>
                <w:kern w:val="2"/>
                <w:sz w:val="32"/>
                <w:szCs w:val="32"/>
                <w:lang w:val="en-US" w:eastAsia="zh-CN" w:bidi="ar-SA"/>
              </w:rPr>
            </w:pPr>
            <w:r>
              <w:rPr>
                <w:rFonts w:hint="eastAsia" w:cs="Times New Roman"/>
                <w:kern w:val="2"/>
                <w:sz w:val="32"/>
                <w:szCs w:val="32"/>
                <w:lang w:val="en-US" w:eastAsia="zh-CN" w:bidi="ar-SA"/>
              </w:rPr>
              <w:t>谷立勍</w:t>
            </w:r>
          </w:p>
        </w:tc>
        <w:tc>
          <w:tcPr>
            <w:tcW w:w="1861" w:type="dxa"/>
            <w:shd w:val="clear" w:color="auto" w:fill="auto"/>
            <w:noWrap w:val="0"/>
            <w:vAlign w:val="center"/>
          </w:tcPr>
          <w:p w14:paraId="1CBFE972">
            <w:pPr>
              <w:jc w:val="center"/>
              <w:rPr>
                <w:rFonts w:hint="default" w:ascii="Calibri" w:hAnsi="Calibri" w:eastAsia="仿宋_GB2312" w:cs="Times New Roman"/>
                <w:kern w:val="2"/>
                <w:sz w:val="32"/>
                <w:szCs w:val="32"/>
                <w:lang w:val="en-US" w:eastAsia="zh-CN" w:bidi="ar-SA"/>
              </w:rPr>
            </w:pPr>
            <w:r>
              <w:rPr>
                <w:rFonts w:hint="eastAsia" w:ascii="Times New Roman" w:hAnsi="Times New Roman" w:eastAsia="仿宋_GB2312"/>
                <w:sz w:val="32"/>
                <w:szCs w:val="32"/>
              </w:rPr>
              <w:t>主管中药师</w:t>
            </w:r>
          </w:p>
        </w:tc>
        <w:tc>
          <w:tcPr>
            <w:tcW w:w="2564" w:type="dxa"/>
            <w:shd w:val="clear" w:color="auto" w:fill="auto"/>
            <w:noWrap w:val="0"/>
            <w:vAlign w:val="center"/>
          </w:tcPr>
          <w:p w14:paraId="114DF631">
            <w:pPr>
              <w:jc w:val="center"/>
              <w:rPr>
                <w:rFonts w:hint="default" w:ascii="Calibri" w:hAnsi="Calibri" w:eastAsia="仿宋_GB2312" w:cs="Times New Roman"/>
                <w:kern w:val="2"/>
                <w:sz w:val="32"/>
                <w:szCs w:val="32"/>
                <w:lang w:val="en-US" w:eastAsia="zh-CN" w:bidi="ar-SA"/>
              </w:rPr>
            </w:pPr>
            <w:r>
              <w:rPr>
                <w:rFonts w:hint="eastAsia" w:ascii="Times New Roman" w:hAnsi="Times New Roman" w:eastAsia="仿宋_GB2312"/>
                <w:sz w:val="32"/>
                <w:szCs w:val="32"/>
              </w:rPr>
              <w:t>药物分析</w:t>
            </w:r>
          </w:p>
        </w:tc>
        <w:tc>
          <w:tcPr>
            <w:tcW w:w="2801" w:type="dxa"/>
            <w:shd w:val="clear" w:color="auto" w:fill="auto"/>
            <w:noWrap w:val="0"/>
            <w:vAlign w:val="center"/>
          </w:tcPr>
          <w:p w14:paraId="6EC3008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sz w:val="32"/>
                <w:szCs w:val="32"/>
              </w:rPr>
              <w:t>广西壮族自治区药品检验研究院</w:t>
            </w:r>
          </w:p>
        </w:tc>
      </w:tr>
    </w:tbl>
    <w:p w14:paraId="097FA19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eastAsia="zh-CN"/>
        </w:rPr>
      </w:pPr>
    </w:p>
    <w:p w14:paraId="5DB8B4BE">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rPr>
      </w:pPr>
    </w:p>
    <w:p w14:paraId="0F399406">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（二）收集整理文献资料</w:t>
      </w:r>
    </w:p>
    <w:p w14:paraId="18E686A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标准编制工作组收集了相关文献资料。主要有：</w:t>
      </w:r>
    </w:p>
    <w:p w14:paraId="565B5AE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岗松，《中国药典》1977年版</w:t>
      </w:r>
    </w:p>
    <w:p w14:paraId="3FFE034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国家中医药管理局中华本草编委会.中华本草:第五册[Ｍ].上海：上海科学技术出版社，1999：625.</w:t>
      </w:r>
    </w:p>
    <w:p w14:paraId="2710030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岗松，《广西壮族自治区瑶药材质量标准》（第一卷）.</w:t>
      </w:r>
    </w:p>
    <w:p w14:paraId="2EDAC7B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刘布鸣，赖茂祥，梁凯妮，等．岗松油的质量分析研究[Ｊ].中国中药杂志，2004，29（6）：539-542．</w:t>
      </w:r>
    </w:p>
    <w:p w14:paraId="2632111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黄晓露,杨桂珍,赵志珩,李军集,武建云,赖沛荣,梁文汇.不同干扰方式对广西沿海地区岗松群落多样性的影响[J].广西林业科学,2019,48(03):290-295.</w:t>
      </w:r>
    </w:p>
    <w:p w14:paraId="4D88550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GB/T 23172-2017</w:t>
      </w:r>
      <w:r>
        <w:rPr>
          <w:rFonts w:hint="default" w:ascii="Times New Roman" w:hAnsi="Times New Roman" w:eastAsia="仿宋_GB2312" w:cs="Times New Roman"/>
          <w:sz w:val="32"/>
          <w:szCs w:val="32"/>
          <w:lang w:val="en-US" w:eastAsia="zh-CN"/>
        </w:rPr>
        <w:t xml:space="preserve"> 藤编制品</w:t>
      </w:r>
      <w:r>
        <w:rPr>
          <w:rFonts w:hint="default" w:ascii="Times New Roman" w:hAnsi="Times New Roman" w:eastAsia="仿宋_GB2312" w:cs="Times New Roman"/>
          <w:sz w:val="32"/>
          <w:szCs w:val="32"/>
          <w:lang w:eastAsia="zh-CN"/>
        </w:rPr>
        <w:t>》</w:t>
      </w:r>
    </w:p>
    <w:p w14:paraId="679890E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GB/T 23114-2020</w:t>
      </w:r>
      <w:r>
        <w:rPr>
          <w:rFonts w:hint="default" w:ascii="Times New Roman" w:hAnsi="Times New Roman" w:eastAsia="仿宋_GB2312" w:cs="Times New Roman"/>
          <w:sz w:val="32"/>
          <w:szCs w:val="32"/>
          <w:lang w:val="en-US" w:eastAsia="zh-CN"/>
        </w:rPr>
        <w:t xml:space="preserve"> 竹编家居用品</w:t>
      </w:r>
      <w:r>
        <w:rPr>
          <w:rFonts w:hint="default" w:ascii="Times New Roman" w:hAnsi="Times New Roman" w:eastAsia="仿宋_GB2312" w:cs="Times New Roman"/>
          <w:sz w:val="32"/>
          <w:szCs w:val="32"/>
          <w:lang w:eastAsia="zh-CN"/>
        </w:rPr>
        <w:t>》</w:t>
      </w:r>
    </w:p>
    <w:p w14:paraId="417C098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《GB/T 33024-2016</w:t>
      </w:r>
      <w:r>
        <w:rPr>
          <w:rFonts w:hint="default" w:ascii="Times New Roman" w:hAnsi="Times New Roman" w:eastAsia="仿宋_GB2312" w:cs="Times New Roman"/>
          <w:sz w:val="32"/>
          <w:szCs w:val="32"/>
          <w:lang w:val="en-US" w:eastAsia="zh-CN"/>
        </w:rPr>
        <w:t xml:space="preserve"> 柳编制品</w:t>
      </w:r>
      <w:r>
        <w:rPr>
          <w:rFonts w:hint="default" w:ascii="Times New Roman" w:hAnsi="Times New Roman" w:eastAsia="仿宋_GB2312" w:cs="Times New Roman"/>
          <w:sz w:val="32"/>
          <w:szCs w:val="32"/>
          <w:lang w:eastAsia="zh-CN"/>
        </w:rPr>
        <w:t>》</w:t>
      </w:r>
    </w:p>
    <w:p w14:paraId="1DA6BBC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《DB 45/T 2450-2022 岗松抚育管护技术规程》</w:t>
      </w:r>
    </w:p>
    <w:p w14:paraId="3EDDB62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QB/T 2934-2018</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"https://std.samr.gov.cn/hb/search/stdHBDetailed?id=8B1827F2498EBB19E05397BE0A0AB44A" \t "https://std.samr.gov.cn/search/_blank"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草编制品</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lang w:eastAsia="zh-CN"/>
        </w:rPr>
        <w:t>》</w:t>
      </w:r>
    </w:p>
    <w:p w14:paraId="209BFB51">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val="en-US" w:eastAsia="zh-CN"/>
        </w:rPr>
        <w:t>三</w:t>
      </w:r>
      <w:r>
        <w:rPr>
          <w:rFonts w:hint="eastAsia" w:ascii="楷体_GB2312" w:hAnsi="楷体_GB2312" w:eastAsia="楷体_GB2312" w:cs="楷体_GB2312"/>
          <w:b/>
          <w:bCs/>
          <w:sz w:val="32"/>
          <w:szCs w:val="32"/>
        </w:rPr>
        <w:t>）研讨确定标准主体内容</w:t>
      </w:r>
    </w:p>
    <w:p w14:paraId="0103AA5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标准编制工作组在对收集的资料进行整理研究后召开了标准编制会议，对标准的整体框架进行了研究，并对标准的关键性问题进行了初步探讨。经过研究，标准的主体内容包括</w:t>
      </w:r>
      <w:r>
        <w:rPr>
          <w:rFonts w:hint="default" w:ascii="Times New Roman" w:hAnsi="Times New Roman" w:eastAsia="仿宋_GB2312" w:cs="Times New Roman"/>
          <w:sz w:val="32"/>
          <w:szCs w:val="32"/>
          <w:lang w:val="en-US" w:eastAsia="zh-CN"/>
        </w:rPr>
        <w:t>原料要求</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规格尺寸</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安全卫生指标</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加工过程</w:t>
      </w:r>
      <w:r>
        <w:rPr>
          <w:rFonts w:hint="default" w:ascii="Times New Roman" w:hAnsi="Times New Roman" w:eastAsia="仿宋_GB2312" w:cs="Times New Roman"/>
          <w:sz w:val="32"/>
          <w:szCs w:val="32"/>
        </w:rPr>
        <w:t>等。</w:t>
      </w:r>
    </w:p>
    <w:p w14:paraId="04B54FCE">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val="en-US" w:eastAsia="zh-CN"/>
        </w:rPr>
        <w:t>四</w:t>
      </w:r>
      <w:r>
        <w:rPr>
          <w:rFonts w:hint="eastAsia" w:ascii="楷体_GB2312" w:hAnsi="楷体_GB2312" w:eastAsia="楷体_GB2312" w:cs="楷体_GB2312"/>
          <w:b/>
          <w:bCs/>
          <w:sz w:val="32"/>
          <w:szCs w:val="32"/>
        </w:rPr>
        <w:t>）调研、形成文本草案、征求意见稿、送审稿</w:t>
      </w:r>
    </w:p>
    <w:p w14:paraId="7B761928">
      <w:pPr>
        <w:keepNext w:val="0"/>
        <w:keepLines w:val="0"/>
        <w:pageBreakBefore w:val="0"/>
        <w:widowControl w:val="0"/>
        <w:kinsoku/>
        <w:wordWrap/>
        <w:overflowPunct/>
        <w:topLinePunct w:val="0"/>
        <w:autoSpaceDE/>
        <w:autoSpaceDN/>
        <w:bidi w:val="0"/>
        <w:adjustRightInd w:val="0"/>
        <w:snapToGrid w:val="0"/>
        <w:spacing w:line="560" w:lineRule="exact"/>
        <w:ind w:firstLine="648" w:firstLineChars="200"/>
        <w:textAlignment w:val="auto"/>
        <w:rPr>
          <w:rFonts w:hint="default" w:ascii="Times New Roman" w:hAnsi="Times New Roman" w:eastAsia="仿宋_GB2312" w:cs="Times New Roman"/>
          <w:spacing w:val="2"/>
          <w:sz w:val="32"/>
          <w:szCs w:val="32"/>
        </w:rPr>
      </w:pPr>
      <w:r>
        <w:rPr>
          <w:rFonts w:hint="default" w:ascii="Times New Roman" w:hAnsi="Times New Roman" w:eastAsia="仿宋_GB2312" w:cs="Times New Roman"/>
          <w:spacing w:val="2"/>
          <w:sz w:val="32"/>
          <w:szCs w:val="32"/>
        </w:rPr>
        <w:t>2024年</w:t>
      </w:r>
      <w:r>
        <w:rPr>
          <w:rFonts w:hint="default" w:ascii="Times New Roman" w:hAnsi="Times New Roman" w:eastAsia="仿宋_GB2312" w:cs="Times New Roman"/>
          <w:spacing w:val="2"/>
          <w:sz w:val="32"/>
          <w:szCs w:val="32"/>
          <w:lang w:val="en-US" w:eastAsia="zh-CN"/>
        </w:rPr>
        <w:t>6</w:t>
      </w:r>
      <w:r>
        <w:rPr>
          <w:rFonts w:hint="default" w:ascii="Times New Roman" w:hAnsi="Times New Roman" w:eastAsia="仿宋_GB2312" w:cs="Times New Roman"/>
          <w:spacing w:val="2"/>
          <w:sz w:val="32"/>
          <w:szCs w:val="32"/>
        </w:rPr>
        <w:t>月，标准起草工作小组进行了广泛实地调研工作，</w:t>
      </w:r>
      <w:r>
        <w:rPr>
          <w:rFonts w:hint="default" w:ascii="Times New Roman" w:hAnsi="Times New Roman" w:eastAsia="仿宋_GB2312" w:cs="Times New Roman"/>
          <w:sz w:val="32"/>
          <w:szCs w:val="32"/>
        </w:rPr>
        <w:t>深入钦州、防城港等地调研岗松编制品生产企业，了解原料采集、干燥处理、编织工艺等环节的现状与问题</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pacing w:val="2"/>
          <w:sz w:val="32"/>
          <w:szCs w:val="32"/>
        </w:rPr>
        <w:t>形成了标准的基本构架，对主要内容进行了讨论并对项目的工作进行了部署和安排。</w:t>
      </w:r>
    </w:p>
    <w:p w14:paraId="22058FAB">
      <w:pPr>
        <w:keepNext w:val="0"/>
        <w:keepLines w:val="0"/>
        <w:pageBreakBefore w:val="0"/>
        <w:widowControl w:val="0"/>
        <w:kinsoku/>
        <w:wordWrap/>
        <w:overflowPunct/>
        <w:topLinePunct w:val="0"/>
        <w:autoSpaceDE/>
        <w:autoSpaceDN/>
        <w:bidi w:val="0"/>
        <w:adjustRightInd w:val="0"/>
        <w:snapToGrid w:val="0"/>
        <w:spacing w:line="560" w:lineRule="exact"/>
        <w:ind w:firstLine="648" w:firstLineChars="200"/>
        <w:textAlignment w:val="auto"/>
        <w:rPr>
          <w:rFonts w:hint="default" w:ascii="Times New Roman" w:hAnsi="Times New Roman" w:eastAsia="仿宋_GB2312" w:cs="Times New Roman"/>
          <w:color w:val="000000"/>
          <w:spacing w:val="2"/>
          <w:sz w:val="32"/>
          <w:szCs w:val="32"/>
        </w:rPr>
      </w:pPr>
      <w:r>
        <w:rPr>
          <w:rFonts w:hint="default" w:ascii="Times New Roman" w:hAnsi="Times New Roman" w:eastAsia="仿宋_GB2312" w:cs="Times New Roman"/>
          <w:spacing w:val="2"/>
          <w:sz w:val="32"/>
          <w:szCs w:val="32"/>
        </w:rPr>
        <w:t>2024年</w:t>
      </w:r>
      <w:r>
        <w:rPr>
          <w:rFonts w:hint="default" w:ascii="Times New Roman" w:hAnsi="Times New Roman" w:eastAsia="仿宋_GB2312" w:cs="Times New Roman"/>
          <w:spacing w:val="2"/>
          <w:sz w:val="32"/>
          <w:szCs w:val="32"/>
          <w:lang w:val="en-US" w:eastAsia="zh-CN"/>
        </w:rPr>
        <w:t>8</w:t>
      </w:r>
      <w:r>
        <w:rPr>
          <w:rFonts w:hint="default" w:ascii="Times New Roman" w:hAnsi="Times New Roman" w:eastAsia="仿宋_GB2312" w:cs="Times New Roman"/>
          <w:spacing w:val="2"/>
          <w:sz w:val="32"/>
          <w:szCs w:val="32"/>
        </w:rPr>
        <w:t>月，在前期工作的基础之上，通过理清逻辑脉络，整合已有的参考资料中有关</w:t>
      </w:r>
      <w:r>
        <w:rPr>
          <w:rFonts w:hint="default" w:ascii="Times New Roman" w:hAnsi="Times New Roman" w:eastAsia="仿宋_GB2312" w:cs="Times New Roman"/>
          <w:spacing w:val="2"/>
          <w:sz w:val="32"/>
          <w:szCs w:val="32"/>
          <w:lang w:val="en-US" w:eastAsia="zh-CN"/>
        </w:rPr>
        <w:t>各类编织品</w:t>
      </w:r>
      <w:r>
        <w:rPr>
          <w:rFonts w:hint="default" w:ascii="Times New Roman" w:hAnsi="Times New Roman" w:eastAsia="仿宋_GB2312" w:cs="Times New Roman"/>
          <w:color w:val="000000"/>
          <w:spacing w:val="2"/>
          <w:sz w:val="32"/>
          <w:szCs w:val="32"/>
        </w:rPr>
        <w:t>技术要求</w:t>
      </w:r>
      <w:r>
        <w:rPr>
          <w:rFonts w:hint="default" w:ascii="Times New Roman" w:hAnsi="Times New Roman" w:eastAsia="仿宋_GB2312" w:cs="Times New Roman"/>
          <w:spacing w:val="2"/>
          <w:sz w:val="32"/>
          <w:szCs w:val="32"/>
        </w:rPr>
        <w:t>，并结合</w:t>
      </w:r>
      <w:r>
        <w:rPr>
          <w:rFonts w:hint="default" w:ascii="Times New Roman" w:hAnsi="Times New Roman" w:eastAsia="仿宋_GB2312" w:cs="Times New Roman"/>
          <w:color w:val="000000"/>
          <w:spacing w:val="2"/>
          <w:sz w:val="32"/>
          <w:szCs w:val="32"/>
          <w:lang w:val="en-US" w:eastAsia="zh-CN"/>
        </w:rPr>
        <w:t>岗松编制品</w:t>
      </w:r>
      <w:r>
        <w:rPr>
          <w:rFonts w:hint="default" w:ascii="Times New Roman" w:hAnsi="Times New Roman" w:eastAsia="仿宋_GB2312" w:cs="Times New Roman"/>
          <w:color w:val="000000"/>
          <w:spacing w:val="2"/>
          <w:sz w:val="32"/>
          <w:szCs w:val="32"/>
        </w:rPr>
        <w:t>要求的基础上，按照简化、统一等原则编制完成团体标准《岗松篱笆编制品》（草案）。</w:t>
      </w:r>
    </w:p>
    <w:p w14:paraId="784F6028">
      <w:pPr>
        <w:keepNext w:val="0"/>
        <w:keepLines w:val="0"/>
        <w:pageBreakBefore w:val="0"/>
        <w:widowControl w:val="0"/>
        <w:kinsoku/>
        <w:wordWrap/>
        <w:overflowPunct/>
        <w:topLinePunct w:val="0"/>
        <w:autoSpaceDE/>
        <w:autoSpaceDN/>
        <w:bidi w:val="0"/>
        <w:adjustRightInd w:val="0"/>
        <w:snapToGrid w:val="0"/>
        <w:spacing w:line="560" w:lineRule="exact"/>
        <w:ind w:firstLine="648" w:firstLineChars="200"/>
        <w:textAlignment w:val="auto"/>
        <w:rPr>
          <w:rFonts w:hint="default" w:ascii="Times New Roman" w:hAnsi="Times New Roman" w:eastAsia="仿宋_GB2312" w:cs="Times New Roman"/>
          <w:color w:val="000000"/>
          <w:spacing w:val="2"/>
          <w:sz w:val="32"/>
          <w:szCs w:val="32"/>
        </w:rPr>
      </w:pPr>
      <w:r>
        <w:rPr>
          <w:rFonts w:hint="default" w:ascii="Times New Roman" w:hAnsi="Times New Roman" w:eastAsia="仿宋_GB2312" w:cs="Times New Roman"/>
          <w:color w:val="000000"/>
          <w:spacing w:val="2"/>
          <w:sz w:val="32"/>
          <w:szCs w:val="32"/>
        </w:rPr>
        <w:t>2024年</w:t>
      </w:r>
      <w:r>
        <w:rPr>
          <w:rFonts w:hint="default" w:ascii="Times New Roman" w:hAnsi="Times New Roman" w:eastAsia="仿宋_GB2312" w:cs="Times New Roman"/>
          <w:color w:val="000000"/>
          <w:spacing w:val="2"/>
          <w:sz w:val="32"/>
          <w:szCs w:val="32"/>
          <w:lang w:val="en-US" w:eastAsia="zh-CN"/>
        </w:rPr>
        <w:t>10</w:t>
      </w:r>
      <w:r>
        <w:rPr>
          <w:rFonts w:hint="default" w:ascii="Times New Roman" w:hAnsi="Times New Roman" w:eastAsia="仿宋_GB2312" w:cs="Times New Roman"/>
          <w:color w:val="000000"/>
          <w:spacing w:val="2"/>
          <w:sz w:val="32"/>
          <w:szCs w:val="32"/>
        </w:rPr>
        <w:t>月，标准编制工作组深入各地进行实地调研，并组织相关主管单位等召开标准研讨会，通过研讨会收集了大量意见，对标准草案进行了反复修改和研究讨论，</w:t>
      </w:r>
      <w:r>
        <w:rPr>
          <w:rFonts w:hint="default" w:ascii="Times New Roman" w:hAnsi="Times New Roman" w:eastAsia="仿宋_GB2312" w:cs="Times New Roman"/>
          <w:color w:val="000000"/>
          <w:spacing w:val="2"/>
          <w:sz w:val="32"/>
          <w:szCs w:val="32"/>
          <w:lang w:val="en-US" w:eastAsia="zh-CN"/>
        </w:rPr>
        <w:t>补充</w:t>
      </w:r>
      <w:r>
        <w:rPr>
          <w:rFonts w:hint="default" w:ascii="Times New Roman" w:hAnsi="Times New Roman" w:eastAsia="仿宋_GB2312" w:cs="Times New Roman"/>
          <w:color w:val="000000"/>
          <w:spacing w:val="2"/>
          <w:sz w:val="32"/>
          <w:szCs w:val="32"/>
        </w:rPr>
        <w:t>掌握了</w:t>
      </w:r>
      <w:r>
        <w:rPr>
          <w:rFonts w:hint="default" w:ascii="Times New Roman" w:hAnsi="Times New Roman" w:eastAsia="仿宋_GB2312" w:cs="Times New Roman"/>
          <w:color w:val="000000"/>
          <w:spacing w:val="2"/>
          <w:sz w:val="32"/>
          <w:szCs w:val="32"/>
          <w:lang w:val="en-US" w:eastAsia="zh-CN"/>
        </w:rPr>
        <w:t>岗松篱笆编制品</w:t>
      </w:r>
      <w:r>
        <w:rPr>
          <w:rFonts w:hint="default" w:ascii="Times New Roman" w:hAnsi="Times New Roman" w:eastAsia="仿宋_GB2312" w:cs="Times New Roman"/>
          <w:color w:val="000000"/>
          <w:spacing w:val="2"/>
          <w:sz w:val="32"/>
          <w:szCs w:val="32"/>
        </w:rPr>
        <w:t>基本情况以及要求，最终形成了团体标准《岗松篱笆编制品》（征求意见稿）及其编制说明</w:t>
      </w:r>
      <w:r>
        <w:rPr>
          <w:rFonts w:hint="default" w:ascii="Times New Roman" w:hAnsi="Times New Roman" w:eastAsia="仿宋_GB2312" w:cs="Times New Roman"/>
          <w:color w:val="000000"/>
          <w:spacing w:val="2"/>
          <w:sz w:val="32"/>
          <w:szCs w:val="32"/>
          <w:lang w:eastAsia="zh-CN"/>
        </w:rPr>
        <w:t>（</w:t>
      </w:r>
      <w:r>
        <w:rPr>
          <w:rFonts w:hint="default" w:ascii="Times New Roman" w:hAnsi="Times New Roman" w:eastAsia="仿宋_GB2312" w:cs="Times New Roman"/>
          <w:color w:val="000000"/>
          <w:spacing w:val="2"/>
          <w:sz w:val="32"/>
          <w:szCs w:val="32"/>
          <w:lang w:val="en-US" w:eastAsia="zh-CN"/>
        </w:rPr>
        <w:t>初稿</w:t>
      </w:r>
      <w:r>
        <w:rPr>
          <w:rFonts w:hint="default" w:ascii="Times New Roman" w:hAnsi="Times New Roman" w:eastAsia="仿宋_GB2312" w:cs="Times New Roman"/>
          <w:color w:val="000000"/>
          <w:spacing w:val="2"/>
          <w:sz w:val="32"/>
          <w:szCs w:val="32"/>
          <w:lang w:eastAsia="zh-CN"/>
        </w:rPr>
        <w:t>）</w:t>
      </w:r>
      <w:r>
        <w:rPr>
          <w:rFonts w:hint="default" w:ascii="Times New Roman" w:hAnsi="Times New Roman" w:eastAsia="仿宋_GB2312" w:cs="Times New Roman"/>
          <w:color w:val="000000"/>
          <w:spacing w:val="2"/>
          <w:sz w:val="32"/>
          <w:szCs w:val="32"/>
        </w:rPr>
        <w:t>。</w:t>
      </w:r>
    </w:p>
    <w:p w14:paraId="71433360">
      <w:pPr>
        <w:keepNext w:val="0"/>
        <w:keepLines w:val="0"/>
        <w:pageBreakBefore w:val="0"/>
        <w:widowControl w:val="0"/>
        <w:kinsoku/>
        <w:wordWrap/>
        <w:overflowPunct/>
        <w:topLinePunct w:val="0"/>
        <w:autoSpaceDE/>
        <w:autoSpaceDN/>
        <w:bidi w:val="0"/>
        <w:adjustRightInd w:val="0"/>
        <w:snapToGrid w:val="0"/>
        <w:spacing w:line="560" w:lineRule="exact"/>
        <w:ind w:firstLine="648" w:firstLineChars="200"/>
        <w:textAlignment w:val="auto"/>
        <w:rPr>
          <w:rFonts w:hint="default" w:ascii="Times New Roman" w:hAnsi="Times New Roman" w:eastAsia="仿宋_GB2312" w:cs="Times New Roman"/>
          <w:color w:val="000000"/>
          <w:spacing w:val="2"/>
          <w:sz w:val="32"/>
          <w:szCs w:val="32"/>
        </w:rPr>
      </w:pPr>
      <w:r>
        <w:rPr>
          <w:rFonts w:hint="default" w:ascii="Times New Roman" w:hAnsi="Times New Roman" w:eastAsia="仿宋_GB2312" w:cs="Times New Roman"/>
          <w:color w:val="000000"/>
          <w:spacing w:val="2"/>
          <w:sz w:val="32"/>
          <w:szCs w:val="32"/>
        </w:rPr>
        <w:t>202</w:t>
      </w:r>
      <w:r>
        <w:rPr>
          <w:rFonts w:hint="default" w:ascii="Times New Roman" w:hAnsi="Times New Roman" w:eastAsia="仿宋_GB2312" w:cs="Times New Roman"/>
          <w:color w:val="000000"/>
          <w:spacing w:val="2"/>
          <w:sz w:val="32"/>
          <w:szCs w:val="32"/>
          <w:lang w:val="en-US" w:eastAsia="zh-CN"/>
        </w:rPr>
        <w:t>5</w:t>
      </w:r>
      <w:r>
        <w:rPr>
          <w:rFonts w:hint="default" w:ascii="Times New Roman" w:hAnsi="Times New Roman" w:eastAsia="仿宋_GB2312" w:cs="Times New Roman"/>
          <w:color w:val="000000"/>
          <w:spacing w:val="2"/>
          <w:sz w:val="32"/>
          <w:szCs w:val="32"/>
        </w:rPr>
        <w:t>年</w:t>
      </w:r>
      <w:r>
        <w:rPr>
          <w:rFonts w:hint="eastAsia" w:ascii="Times New Roman" w:hAnsi="Times New Roman" w:cs="Times New Roman"/>
          <w:color w:val="000000"/>
          <w:spacing w:val="2"/>
          <w:sz w:val="32"/>
          <w:szCs w:val="32"/>
          <w:lang w:val="en-US" w:eastAsia="zh-CN"/>
        </w:rPr>
        <w:t>3</w:t>
      </w:r>
      <w:r>
        <w:rPr>
          <w:rFonts w:hint="default" w:ascii="Times New Roman" w:hAnsi="Times New Roman" w:eastAsia="仿宋_GB2312" w:cs="Times New Roman"/>
          <w:color w:val="000000"/>
          <w:spacing w:val="2"/>
          <w:sz w:val="32"/>
          <w:szCs w:val="32"/>
        </w:rPr>
        <w:t>月，标准编制工作组向</w:t>
      </w:r>
      <w:r>
        <w:rPr>
          <w:rFonts w:hint="default" w:ascii="Times New Roman" w:hAnsi="Times New Roman" w:eastAsia="仿宋_GB2312" w:cs="Times New Roman"/>
          <w:sz w:val="32"/>
          <w:szCs w:val="32"/>
        </w:rPr>
        <w:t>广西壮族自治区中医药研究院、广西中药质量标准研究重点实验室、广西壮族自治区国有钦廉林场、广西自贸区陇桂投资集团有限公司、防城港市绿松源生物科技有限公司、广西壮族自治区药品检验研究院、广西星银迪智药业有限公司</w:t>
      </w:r>
      <w:r>
        <w:rPr>
          <w:rFonts w:hint="default" w:ascii="Times New Roman" w:hAnsi="Times New Roman" w:eastAsia="仿宋_GB2312" w:cs="Times New Roman"/>
          <w:color w:val="000000"/>
          <w:spacing w:val="2"/>
          <w:sz w:val="32"/>
          <w:szCs w:val="32"/>
        </w:rPr>
        <w:t>等</w:t>
      </w:r>
      <w:r>
        <w:rPr>
          <w:rFonts w:hint="default" w:ascii="Times New Roman" w:hAnsi="Times New Roman" w:eastAsia="仿宋_GB2312" w:cs="Times New Roman"/>
          <w:color w:val="000000"/>
          <w:spacing w:val="2"/>
          <w:sz w:val="32"/>
          <w:szCs w:val="32"/>
          <w:lang w:val="en-US" w:eastAsia="zh-CN"/>
        </w:rPr>
        <w:t>7</w:t>
      </w:r>
      <w:r>
        <w:rPr>
          <w:rFonts w:hint="default" w:ascii="Times New Roman" w:hAnsi="Times New Roman" w:eastAsia="仿宋_GB2312" w:cs="Times New Roman"/>
          <w:color w:val="000000"/>
          <w:spacing w:val="2"/>
          <w:sz w:val="32"/>
          <w:szCs w:val="32"/>
        </w:rPr>
        <w:t>家单位专家征求意见</w:t>
      </w:r>
      <w:r>
        <w:rPr>
          <w:rFonts w:hint="default" w:ascii="Times New Roman" w:hAnsi="Times New Roman" w:eastAsia="仿宋_GB2312" w:cs="Times New Roman"/>
          <w:color w:val="000000"/>
          <w:spacing w:val="2"/>
          <w:sz w:val="32"/>
          <w:szCs w:val="32"/>
          <w:lang w:eastAsia="zh-CN"/>
        </w:rPr>
        <w:t>。</w:t>
      </w:r>
      <w:r>
        <w:rPr>
          <w:rFonts w:hint="default" w:ascii="Times New Roman" w:hAnsi="Times New Roman" w:eastAsia="仿宋_GB2312" w:cs="Times New Roman"/>
          <w:color w:val="000000"/>
          <w:spacing w:val="2"/>
          <w:sz w:val="32"/>
          <w:szCs w:val="32"/>
        </w:rPr>
        <w:t>标准编制工作组根据专家反馈的意见进行多次讨论与修改，梳理汇总形成征求意见处理汇总表，修改完善标准，最终形成了团体标准《岗松篱笆编制品》（送审稿）及其编制说明。</w:t>
      </w:r>
    </w:p>
    <w:p w14:paraId="4E3D34D9">
      <w:pPr>
        <w:keepNext w:val="0"/>
        <w:keepLines w:val="0"/>
        <w:pageBreakBefore w:val="0"/>
        <w:widowControl w:val="0"/>
        <w:kinsoku/>
        <w:wordWrap/>
        <w:overflowPunct/>
        <w:topLinePunct w:val="0"/>
        <w:autoSpaceDE/>
        <w:autoSpaceDN/>
        <w:bidi w:val="0"/>
        <w:adjustRightInd w:val="0"/>
        <w:snapToGrid w:val="0"/>
        <w:spacing w:before="157" w:beforeLines="50" w:after="157" w:afterLines="50" w:line="560" w:lineRule="exact"/>
        <w:ind w:firstLine="640" w:firstLineChars="200"/>
        <w:jc w:val="both"/>
        <w:textAlignment w:val="auto"/>
        <w:outlineLvl w:val="0"/>
        <w:rPr>
          <w:rFonts w:hint="eastAsia" w:ascii="黑体" w:hAnsi="黑体" w:eastAsia="黑体" w:cs="黑体"/>
          <w:b w:val="0"/>
          <w:bCs/>
          <w:sz w:val="32"/>
          <w:szCs w:val="32"/>
          <w:lang w:eastAsia="zh-CN"/>
        </w:rPr>
      </w:pPr>
      <w:r>
        <w:rPr>
          <w:rFonts w:hint="eastAsia" w:ascii="黑体" w:hAnsi="黑体" w:eastAsia="黑体" w:cs="黑体"/>
          <w:b w:val="0"/>
          <w:bCs/>
          <w:sz w:val="32"/>
          <w:szCs w:val="32"/>
        </w:rPr>
        <w:t>四、制定标准的原则</w:t>
      </w:r>
    </w:p>
    <w:p w14:paraId="4DEB7440">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（一）实用性原则</w:t>
      </w:r>
    </w:p>
    <w:p w14:paraId="7F40829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本标准中有关</w:t>
      </w:r>
      <w:r>
        <w:rPr>
          <w:rFonts w:hint="default" w:ascii="Times New Roman" w:hAnsi="Times New Roman" w:eastAsia="仿宋_GB2312" w:cs="Times New Roman"/>
          <w:color w:val="000000"/>
          <w:spacing w:val="2"/>
          <w:sz w:val="32"/>
          <w:szCs w:val="32"/>
        </w:rPr>
        <w:t>岗松篱笆编制品</w:t>
      </w:r>
      <w:r>
        <w:rPr>
          <w:rFonts w:hint="default" w:ascii="Times New Roman" w:hAnsi="Times New Roman" w:eastAsia="仿宋_GB2312" w:cs="Times New Roman"/>
          <w:sz w:val="32"/>
          <w:szCs w:val="32"/>
        </w:rPr>
        <w:t>规定和要求，是在充分收集相关资料和文献基础上制定的，分析区内</w:t>
      </w:r>
      <w:r>
        <w:rPr>
          <w:rFonts w:hint="default" w:ascii="Times New Roman" w:hAnsi="Times New Roman" w:eastAsia="仿宋_GB2312" w:cs="Times New Roman"/>
          <w:color w:val="000000"/>
          <w:spacing w:val="2"/>
          <w:sz w:val="32"/>
          <w:szCs w:val="32"/>
        </w:rPr>
        <w:t>岗松篱笆编制品</w:t>
      </w:r>
      <w:r>
        <w:rPr>
          <w:rFonts w:hint="default" w:ascii="Times New Roman" w:hAnsi="Times New Roman" w:eastAsia="仿宋_GB2312" w:cs="Times New Roman"/>
          <w:sz w:val="32"/>
          <w:szCs w:val="32"/>
        </w:rPr>
        <w:t>生产和使用的现状，调研区内岗松种植、加工及产品开发应用情况</w:t>
      </w:r>
      <w:r>
        <w:rPr>
          <w:rFonts w:hint="default" w:ascii="Times New Roman" w:hAnsi="Times New Roman" w:eastAsia="仿宋_GB2312" w:cs="Times New Roman"/>
          <w:spacing w:val="2"/>
          <w:sz w:val="32"/>
          <w:szCs w:val="32"/>
        </w:rPr>
        <w:t>，在现有国家、行业标准相关</w:t>
      </w:r>
      <w:r>
        <w:rPr>
          <w:rFonts w:hint="default" w:ascii="Times New Roman" w:hAnsi="Times New Roman" w:eastAsia="仿宋_GB2312" w:cs="Times New Roman"/>
          <w:color w:val="000000"/>
          <w:spacing w:val="2"/>
          <w:sz w:val="32"/>
          <w:szCs w:val="32"/>
        </w:rPr>
        <w:t>编制品</w:t>
      </w:r>
      <w:r>
        <w:rPr>
          <w:rFonts w:hint="default" w:ascii="Times New Roman" w:hAnsi="Times New Roman" w:eastAsia="仿宋_GB2312" w:cs="Times New Roman"/>
          <w:spacing w:val="2"/>
          <w:sz w:val="32"/>
          <w:szCs w:val="32"/>
        </w:rPr>
        <w:t>要求的基础上，结合起草单位多年的关于</w:t>
      </w:r>
      <w:r>
        <w:rPr>
          <w:rFonts w:hint="default" w:ascii="Times New Roman" w:hAnsi="Times New Roman" w:eastAsia="仿宋_GB2312" w:cs="Times New Roman"/>
          <w:color w:val="000000"/>
          <w:spacing w:val="2"/>
          <w:sz w:val="32"/>
          <w:szCs w:val="32"/>
        </w:rPr>
        <w:t>岗松</w:t>
      </w:r>
      <w:r>
        <w:rPr>
          <w:rFonts w:hint="default" w:ascii="Times New Roman" w:hAnsi="Times New Roman" w:eastAsia="仿宋_GB2312" w:cs="Times New Roman"/>
          <w:color w:val="000000"/>
          <w:spacing w:val="2"/>
          <w:sz w:val="32"/>
          <w:szCs w:val="32"/>
          <w:lang w:val="en-US" w:eastAsia="zh-CN"/>
        </w:rPr>
        <w:t>加工</w:t>
      </w:r>
      <w:r>
        <w:rPr>
          <w:rFonts w:hint="default" w:ascii="Times New Roman" w:hAnsi="Times New Roman" w:eastAsia="仿宋_GB2312" w:cs="Times New Roman"/>
          <w:spacing w:val="2"/>
          <w:sz w:val="32"/>
          <w:szCs w:val="32"/>
        </w:rPr>
        <w:t>技术研究经验而总结起草的，符合当前</w:t>
      </w:r>
      <w:r>
        <w:rPr>
          <w:rFonts w:hint="default" w:ascii="Times New Roman" w:hAnsi="Times New Roman" w:eastAsia="仿宋_GB2312" w:cs="Times New Roman"/>
          <w:spacing w:val="2"/>
          <w:sz w:val="32"/>
          <w:szCs w:val="32"/>
          <w:lang w:val="en-US" w:eastAsia="zh-CN"/>
        </w:rPr>
        <w:t>岗松</w:t>
      </w:r>
      <w:r>
        <w:rPr>
          <w:rFonts w:hint="default" w:ascii="Times New Roman" w:hAnsi="Times New Roman" w:eastAsia="仿宋_GB2312" w:cs="Times New Roman"/>
          <w:spacing w:val="2"/>
          <w:sz w:val="32"/>
          <w:szCs w:val="32"/>
        </w:rPr>
        <w:t>发展方向与市场需求，有利于行业的长远发展，提高农民经济效益，对推动</w:t>
      </w:r>
      <w:r>
        <w:rPr>
          <w:rFonts w:hint="default" w:ascii="Times New Roman" w:hAnsi="Times New Roman" w:eastAsia="仿宋_GB2312" w:cs="Times New Roman"/>
          <w:spacing w:val="2"/>
          <w:sz w:val="32"/>
          <w:szCs w:val="32"/>
          <w:lang w:val="en-US" w:eastAsia="zh-CN"/>
        </w:rPr>
        <w:t>岗松</w:t>
      </w:r>
      <w:r>
        <w:rPr>
          <w:rFonts w:hint="default" w:ascii="Times New Roman" w:hAnsi="Times New Roman" w:eastAsia="仿宋_GB2312" w:cs="Times New Roman"/>
          <w:spacing w:val="2"/>
          <w:sz w:val="32"/>
          <w:szCs w:val="32"/>
        </w:rPr>
        <w:t>产业健康发展，促进农民增收致富，具有较强的实用性和可操作性。</w:t>
      </w:r>
    </w:p>
    <w:p w14:paraId="49A1B31E">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（二）协调性原则</w:t>
      </w:r>
    </w:p>
    <w:p w14:paraId="6F0EFCD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岗松及其产品无国际标准，本标准在编写过程中注意了与岗松（广西壮族自治区瑶药材质量标准第一卷）（广西壮族自治区壮药质量标准第一卷）</w:t>
      </w:r>
      <w:r>
        <w:rPr>
          <w:rFonts w:hint="default" w:ascii="Times New Roman" w:hAnsi="Times New Roman" w:eastAsia="仿宋_GB2312" w:cs="Times New Roman"/>
          <w:sz w:val="32"/>
          <w:szCs w:val="32"/>
          <w:lang w:val="en-US" w:eastAsia="zh-CN"/>
        </w:rPr>
        <w:t>以及其他编制品</w:t>
      </w:r>
      <w:r>
        <w:rPr>
          <w:rFonts w:hint="default" w:ascii="Times New Roman" w:hAnsi="Times New Roman" w:eastAsia="仿宋_GB2312" w:cs="Times New Roman"/>
          <w:sz w:val="32"/>
          <w:szCs w:val="32"/>
        </w:rPr>
        <w:t>标准的协调问题，在内容上与现行法律法规、标准协调一致。</w:t>
      </w:r>
    </w:p>
    <w:p w14:paraId="73D7143E">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（三）规范性原则</w:t>
      </w:r>
    </w:p>
    <w:p w14:paraId="62C484C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本标准严格按照GB/T 1.1—2009《标准化工作导则 第1部分：标准的结构和编写》的要求和规定编写本标准的内容，保证标准的编写质量。</w:t>
      </w:r>
    </w:p>
    <w:p w14:paraId="1B6A24A8">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（四）前瞻性原则</w:t>
      </w:r>
    </w:p>
    <w:p w14:paraId="15EA29B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本标准在兼顾当前岗松</w:t>
      </w:r>
      <w:r>
        <w:rPr>
          <w:rFonts w:hint="default" w:ascii="Times New Roman" w:hAnsi="Times New Roman" w:eastAsia="仿宋_GB2312" w:cs="Times New Roman"/>
          <w:sz w:val="32"/>
          <w:szCs w:val="32"/>
          <w:lang w:val="en-US" w:eastAsia="zh-CN"/>
        </w:rPr>
        <w:t>篱笆编制品</w:t>
      </w:r>
      <w:r>
        <w:rPr>
          <w:rFonts w:hint="default" w:ascii="Times New Roman" w:hAnsi="Times New Roman" w:eastAsia="仿宋_GB2312" w:cs="Times New Roman"/>
          <w:sz w:val="32"/>
          <w:szCs w:val="32"/>
        </w:rPr>
        <w:t>生产现实情况的同时，还考虑到</w:t>
      </w:r>
      <w:r>
        <w:rPr>
          <w:rFonts w:hint="default" w:ascii="Times New Roman" w:hAnsi="Times New Roman" w:eastAsia="仿宋_GB2312" w:cs="Times New Roman"/>
          <w:sz w:val="32"/>
          <w:szCs w:val="32"/>
          <w:lang w:val="en-US" w:eastAsia="zh-CN"/>
        </w:rPr>
        <w:t>岗松</w:t>
      </w:r>
      <w:r>
        <w:rPr>
          <w:rFonts w:hint="default" w:ascii="Times New Roman" w:hAnsi="Times New Roman" w:eastAsia="仿宋_GB2312" w:cs="Times New Roman"/>
          <w:sz w:val="32"/>
          <w:szCs w:val="32"/>
        </w:rPr>
        <w:t>快速发展的趋势和需要，在标准中体现了个别特色性、前瞻性和先进性条款，作为对</w:t>
      </w:r>
      <w:r>
        <w:rPr>
          <w:rFonts w:hint="default" w:ascii="Times New Roman" w:hAnsi="Times New Roman" w:eastAsia="仿宋_GB2312" w:cs="Times New Roman"/>
          <w:sz w:val="32"/>
          <w:szCs w:val="32"/>
          <w:lang w:val="en-US" w:eastAsia="zh-CN"/>
        </w:rPr>
        <w:t>岗松加工品</w:t>
      </w:r>
      <w:r>
        <w:rPr>
          <w:rFonts w:hint="default" w:ascii="Times New Roman" w:hAnsi="Times New Roman" w:eastAsia="仿宋_GB2312" w:cs="Times New Roman"/>
          <w:sz w:val="32"/>
          <w:szCs w:val="32"/>
        </w:rPr>
        <w:t>发展的指导。</w:t>
      </w:r>
    </w:p>
    <w:p w14:paraId="6B2DB696">
      <w:pPr>
        <w:keepNext w:val="0"/>
        <w:keepLines w:val="0"/>
        <w:pageBreakBefore w:val="0"/>
        <w:widowControl w:val="0"/>
        <w:kinsoku/>
        <w:wordWrap/>
        <w:overflowPunct/>
        <w:topLinePunct w:val="0"/>
        <w:autoSpaceDE/>
        <w:autoSpaceDN/>
        <w:bidi w:val="0"/>
        <w:adjustRightInd w:val="0"/>
        <w:snapToGrid w:val="0"/>
        <w:spacing w:before="157" w:beforeLines="50" w:after="157" w:afterLines="50" w:line="560" w:lineRule="exact"/>
        <w:ind w:firstLine="640" w:firstLineChars="200"/>
        <w:jc w:val="both"/>
        <w:textAlignment w:val="auto"/>
        <w:outlineLvl w:val="0"/>
        <w:rPr>
          <w:rFonts w:hint="eastAsia" w:ascii="黑体" w:hAnsi="黑体" w:eastAsia="黑体" w:cs="黑体"/>
          <w:b w:val="0"/>
          <w:bCs/>
          <w:sz w:val="32"/>
          <w:szCs w:val="32"/>
          <w:lang w:val="en-US" w:eastAsia="zh-CN"/>
        </w:rPr>
      </w:pPr>
      <w:r>
        <w:rPr>
          <w:rFonts w:hint="eastAsia" w:ascii="黑体" w:hAnsi="黑体" w:eastAsia="黑体" w:cs="黑体"/>
          <w:b w:val="0"/>
          <w:bCs/>
          <w:sz w:val="32"/>
          <w:szCs w:val="32"/>
        </w:rPr>
        <w:t>五、</w:t>
      </w:r>
      <w:r>
        <w:rPr>
          <w:rFonts w:hint="eastAsia" w:ascii="黑体" w:hAnsi="黑体" w:eastAsia="黑体" w:cs="黑体"/>
          <w:b w:val="0"/>
          <w:bCs/>
          <w:sz w:val="32"/>
          <w:szCs w:val="32"/>
          <w:lang w:val="en-US" w:eastAsia="zh-CN"/>
        </w:rPr>
        <w:t>标准主要内容及依据来源</w:t>
      </w:r>
    </w:p>
    <w:p w14:paraId="1A22307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FF0000"/>
          <w:sz w:val="32"/>
          <w:szCs w:val="32"/>
        </w:rPr>
      </w:pPr>
      <w:r>
        <w:rPr>
          <w:rFonts w:hint="default" w:ascii="Times New Roman" w:hAnsi="Times New Roman" w:eastAsia="仿宋_GB2312" w:cs="Times New Roman"/>
          <w:sz w:val="32"/>
          <w:szCs w:val="32"/>
        </w:rPr>
        <w:t>岗松露由防城港市绿松源生物科技有限公司加工生产，共10个批次。</w:t>
      </w:r>
    </w:p>
    <w:p w14:paraId="2F0E9B4B">
      <w:pPr>
        <w:keepNext w:val="0"/>
        <w:keepLines w:val="0"/>
        <w:pageBreakBefore w:val="0"/>
        <w:widowControl w:val="0"/>
        <w:kinsoku/>
        <w:wordWrap/>
        <w:overflowPunct/>
        <w:topLinePunct w:val="0"/>
        <w:autoSpaceDE/>
        <w:autoSpaceDN/>
        <w:bidi w:val="0"/>
        <w:adjustRightInd w:val="0"/>
        <w:snapToGrid w:val="0"/>
        <w:spacing w:line="560" w:lineRule="exact"/>
        <w:ind w:firstLine="640"/>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表1  不同批次岗松</w:t>
      </w:r>
      <w:r>
        <w:rPr>
          <w:rFonts w:hint="default" w:ascii="Times New Roman" w:hAnsi="Times New Roman" w:eastAsia="仿宋_GB2312" w:cs="Times New Roman"/>
          <w:sz w:val="32"/>
          <w:szCs w:val="32"/>
          <w:lang w:val="en-US" w:eastAsia="zh-CN"/>
        </w:rPr>
        <w:t>篱笆编制品</w:t>
      </w:r>
      <w:r>
        <w:rPr>
          <w:rFonts w:hint="default" w:ascii="Times New Roman" w:hAnsi="Times New Roman" w:eastAsia="仿宋_GB2312" w:cs="Times New Roman"/>
          <w:sz w:val="32"/>
          <w:szCs w:val="32"/>
        </w:rPr>
        <w:t>样品来源信息</w:t>
      </w:r>
    </w:p>
    <w:tbl>
      <w:tblPr>
        <w:tblStyle w:val="5"/>
        <w:tblW w:w="7054" w:type="dxa"/>
        <w:jc w:val="center"/>
        <w:tblLayout w:type="fixed"/>
        <w:tblCellMar>
          <w:top w:w="0" w:type="dxa"/>
          <w:left w:w="108" w:type="dxa"/>
          <w:bottom w:w="0" w:type="dxa"/>
          <w:right w:w="108" w:type="dxa"/>
        </w:tblCellMar>
      </w:tblPr>
      <w:tblGrid>
        <w:gridCol w:w="1096"/>
        <w:gridCol w:w="5958"/>
      </w:tblGrid>
      <w:tr w14:paraId="332A550C">
        <w:tblPrEx>
          <w:tblCellMar>
            <w:top w:w="0" w:type="dxa"/>
            <w:left w:w="108" w:type="dxa"/>
            <w:bottom w:w="0" w:type="dxa"/>
            <w:right w:w="108" w:type="dxa"/>
          </w:tblCellMar>
        </w:tblPrEx>
        <w:trPr>
          <w:jc w:val="center"/>
        </w:trPr>
        <w:tc>
          <w:tcPr>
            <w:tcW w:w="1096" w:type="dxa"/>
            <w:tcBorders>
              <w:top w:val="single" w:color="auto" w:sz="4" w:space="0"/>
              <w:bottom w:val="single" w:color="auto" w:sz="4" w:space="0"/>
            </w:tcBorders>
            <w:noWrap w:val="0"/>
            <w:vAlign w:val="center"/>
          </w:tcPr>
          <w:p w14:paraId="57EE758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编号</w:t>
            </w:r>
          </w:p>
        </w:tc>
        <w:tc>
          <w:tcPr>
            <w:tcW w:w="5958" w:type="dxa"/>
            <w:tcBorders>
              <w:top w:val="single" w:color="auto" w:sz="4" w:space="0"/>
              <w:bottom w:val="single" w:color="auto" w:sz="4" w:space="0"/>
            </w:tcBorders>
            <w:noWrap w:val="0"/>
            <w:vAlign w:val="center"/>
          </w:tcPr>
          <w:p w14:paraId="21F08CB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来源</w:t>
            </w:r>
          </w:p>
        </w:tc>
      </w:tr>
      <w:tr w14:paraId="512435C2">
        <w:tblPrEx>
          <w:tblCellMar>
            <w:top w:w="0" w:type="dxa"/>
            <w:left w:w="108" w:type="dxa"/>
            <w:bottom w:w="0" w:type="dxa"/>
            <w:right w:w="108" w:type="dxa"/>
          </w:tblCellMar>
        </w:tblPrEx>
        <w:trPr>
          <w:jc w:val="center"/>
        </w:trPr>
        <w:tc>
          <w:tcPr>
            <w:tcW w:w="1096" w:type="dxa"/>
            <w:tcBorders>
              <w:top w:val="single" w:color="auto" w:sz="4" w:space="0"/>
            </w:tcBorders>
            <w:noWrap w:val="0"/>
            <w:vAlign w:val="center"/>
          </w:tcPr>
          <w:p w14:paraId="5592A04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IP-1</w:t>
            </w:r>
          </w:p>
        </w:tc>
        <w:tc>
          <w:tcPr>
            <w:tcW w:w="5958" w:type="dxa"/>
            <w:tcBorders>
              <w:top w:val="single" w:color="auto" w:sz="4" w:space="0"/>
            </w:tcBorders>
            <w:noWrap w:val="0"/>
            <w:vAlign w:val="center"/>
          </w:tcPr>
          <w:p w14:paraId="67588B4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防城港市绿松源生物科技有限公司</w:t>
            </w:r>
          </w:p>
        </w:tc>
      </w:tr>
      <w:tr w14:paraId="0FF89185">
        <w:tblPrEx>
          <w:tblCellMar>
            <w:top w:w="0" w:type="dxa"/>
            <w:left w:w="108" w:type="dxa"/>
            <w:bottom w:w="0" w:type="dxa"/>
            <w:right w:w="108" w:type="dxa"/>
          </w:tblCellMar>
        </w:tblPrEx>
        <w:trPr>
          <w:jc w:val="center"/>
        </w:trPr>
        <w:tc>
          <w:tcPr>
            <w:tcW w:w="1096" w:type="dxa"/>
            <w:noWrap w:val="0"/>
            <w:vAlign w:val="center"/>
          </w:tcPr>
          <w:p w14:paraId="58662A7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IP-2</w:t>
            </w:r>
          </w:p>
        </w:tc>
        <w:tc>
          <w:tcPr>
            <w:tcW w:w="5958" w:type="dxa"/>
            <w:noWrap w:val="0"/>
            <w:vAlign w:val="center"/>
          </w:tcPr>
          <w:p w14:paraId="7262451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防城港市绿松源生物科技有限公司</w:t>
            </w:r>
          </w:p>
        </w:tc>
      </w:tr>
      <w:tr w14:paraId="771FD00F">
        <w:tblPrEx>
          <w:tblCellMar>
            <w:top w:w="0" w:type="dxa"/>
            <w:left w:w="108" w:type="dxa"/>
            <w:bottom w:w="0" w:type="dxa"/>
            <w:right w:w="108" w:type="dxa"/>
          </w:tblCellMar>
        </w:tblPrEx>
        <w:trPr>
          <w:jc w:val="center"/>
        </w:trPr>
        <w:tc>
          <w:tcPr>
            <w:tcW w:w="1096" w:type="dxa"/>
            <w:noWrap w:val="0"/>
            <w:vAlign w:val="center"/>
          </w:tcPr>
          <w:p w14:paraId="70C829C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IP-3</w:t>
            </w:r>
          </w:p>
        </w:tc>
        <w:tc>
          <w:tcPr>
            <w:tcW w:w="5958" w:type="dxa"/>
            <w:noWrap w:val="0"/>
            <w:vAlign w:val="center"/>
          </w:tcPr>
          <w:p w14:paraId="7732A1F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防城港市绿松源生物科技有限公司</w:t>
            </w:r>
          </w:p>
        </w:tc>
      </w:tr>
      <w:tr w14:paraId="4BD6A499">
        <w:tblPrEx>
          <w:tblCellMar>
            <w:top w:w="0" w:type="dxa"/>
            <w:left w:w="108" w:type="dxa"/>
            <w:bottom w:w="0" w:type="dxa"/>
            <w:right w:w="108" w:type="dxa"/>
          </w:tblCellMar>
        </w:tblPrEx>
        <w:trPr>
          <w:jc w:val="center"/>
        </w:trPr>
        <w:tc>
          <w:tcPr>
            <w:tcW w:w="1096" w:type="dxa"/>
            <w:noWrap w:val="0"/>
            <w:vAlign w:val="center"/>
          </w:tcPr>
          <w:p w14:paraId="6754F8C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IP-4</w:t>
            </w:r>
          </w:p>
        </w:tc>
        <w:tc>
          <w:tcPr>
            <w:tcW w:w="5958" w:type="dxa"/>
            <w:noWrap w:val="0"/>
            <w:vAlign w:val="center"/>
          </w:tcPr>
          <w:p w14:paraId="509229A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防城港市绿松源生物科技有限公司</w:t>
            </w:r>
          </w:p>
        </w:tc>
      </w:tr>
      <w:tr w14:paraId="7C7BFA14">
        <w:tblPrEx>
          <w:tblCellMar>
            <w:top w:w="0" w:type="dxa"/>
            <w:left w:w="108" w:type="dxa"/>
            <w:bottom w:w="0" w:type="dxa"/>
            <w:right w:w="108" w:type="dxa"/>
          </w:tblCellMar>
        </w:tblPrEx>
        <w:trPr>
          <w:jc w:val="center"/>
        </w:trPr>
        <w:tc>
          <w:tcPr>
            <w:tcW w:w="1096" w:type="dxa"/>
            <w:noWrap w:val="0"/>
            <w:vAlign w:val="center"/>
          </w:tcPr>
          <w:p w14:paraId="05F1BD6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IP-5</w:t>
            </w:r>
          </w:p>
        </w:tc>
        <w:tc>
          <w:tcPr>
            <w:tcW w:w="5958" w:type="dxa"/>
            <w:noWrap w:val="0"/>
            <w:vAlign w:val="center"/>
          </w:tcPr>
          <w:p w14:paraId="60F0131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防城港市绿松源生物科技有限公司</w:t>
            </w:r>
          </w:p>
        </w:tc>
      </w:tr>
      <w:tr w14:paraId="1C4CE8E9">
        <w:tblPrEx>
          <w:tblCellMar>
            <w:top w:w="0" w:type="dxa"/>
            <w:left w:w="108" w:type="dxa"/>
            <w:bottom w:w="0" w:type="dxa"/>
            <w:right w:w="108" w:type="dxa"/>
          </w:tblCellMar>
        </w:tblPrEx>
        <w:trPr>
          <w:jc w:val="center"/>
        </w:trPr>
        <w:tc>
          <w:tcPr>
            <w:tcW w:w="1096" w:type="dxa"/>
            <w:noWrap w:val="0"/>
            <w:vAlign w:val="center"/>
          </w:tcPr>
          <w:p w14:paraId="5983A1A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IP-6</w:t>
            </w:r>
          </w:p>
        </w:tc>
        <w:tc>
          <w:tcPr>
            <w:tcW w:w="5958" w:type="dxa"/>
            <w:noWrap w:val="0"/>
            <w:vAlign w:val="center"/>
          </w:tcPr>
          <w:p w14:paraId="6A5775D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防城港市绿松源生物科技有限公司</w:t>
            </w:r>
          </w:p>
        </w:tc>
      </w:tr>
      <w:tr w14:paraId="42005841">
        <w:tblPrEx>
          <w:tblCellMar>
            <w:top w:w="0" w:type="dxa"/>
            <w:left w:w="108" w:type="dxa"/>
            <w:bottom w:w="0" w:type="dxa"/>
            <w:right w:w="108" w:type="dxa"/>
          </w:tblCellMar>
        </w:tblPrEx>
        <w:trPr>
          <w:jc w:val="center"/>
        </w:trPr>
        <w:tc>
          <w:tcPr>
            <w:tcW w:w="1096" w:type="dxa"/>
            <w:noWrap w:val="0"/>
            <w:vAlign w:val="center"/>
          </w:tcPr>
          <w:p w14:paraId="77D108C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IP-7</w:t>
            </w:r>
          </w:p>
        </w:tc>
        <w:tc>
          <w:tcPr>
            <w:tcW w:w="5958" w:type="dxa"/>
            <w:noWrap w:val="0"/>
            <w:vAlign w:val="center"/>
          </w:tcPr>
          <w:p w14:paraId="6E9A495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防城港市绿松源生物科技有限公司</w:t>
            </w:r>
          </w:p>
        </w:tc>
      </w:tr>
      <w:tr w14:paraId="0859734B">
        <w:tblPrEx>
          <w:tblCellMar>
            <w:top w:w="0" w:type="dxa"/>
            <w:left w:w="108" w:type="dxa"/>
            <w:bottom w:w="0" w:type="dxa"/>
            <w:right w:w="108" w:type="dxa"/>
          </w:tblCellMar>
        </w:tblPrEx>
        <w:trPr>
          <w:jc w:val="center"/>
        </w:trPr>
        <w:tc>
          <w:tcPr>
            <w:tcW w:w="1096" w:type="dxa"/>
            <w:noWrap w:val="0"/>
            <w:vAlign w:val="center"/>
          </w:tcPr>
          <w:p w14:paraId="36F3370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IP-8</w:t>
            </w:r>
          </w:p>
        </w:tc>
        <w:tc>
          <w:tcPr>
            <w:tcW w:w="5958" w:type="dxa"/>
            <w:noWrap w:val="0"/>
            <w:vAlign w:val="center"/>
          </w:tcPr>
          <w:p w14:paraId="2F03EBB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防城港市绿松源生物科技有限公司</w:t>
            </w:r>
          </w:p>
        </w:tc>
      </w:tr>
      <w:tr w14:paraId="2C38C004">
        <w:tblPrEx>
          <w:tblCellMar>
            <w:top w:w="0" w:type="dxa"/>
            <w:left w:w="108" w:type="dxa"/>
            <w:bottom w:w="0" w:type="dxa"/>
            <w:right w:w="108" w:type="dxa"/>
          </w:tblCellMar>
        </w:tblPrEx>
        <w:trPr>
          <w:jc w:val="center"/>
        </w:trPr>
        <w:tc>
          <w:tcPr>
            <w:tcW w:w="1096" w:type="dxa"/>
            <w:noWrap w:val="0"/>
            <w:vAlign w:val="center"/>
          </w:tcPr>
          <w:p w14:paraId="5788C21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IP-9</w:t>
            </w:r>
          </w:p>
        </w:tc>
        <w:tc>
          <w:tcPr>
            <w:tcW w:w="5958" w:type="dxa"/>
            <w:noWrap w:val="0"/>
            <w:vAlign w:val="center"/>
          </w:tcPr>
          <w:p w14:paraId="2266E07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防城港市绿松源生物科技有限公司</w:t>
            </w:r>
          </w:p>
        </w:tc>
      </w:tr>
      <w:tr w14:paraId="2754F320">
        <w:tblPrEx>
          <w:tblCellMar>
            <w:top w:w="0" w:type="dxa"/>
            <w:left w:w="108" w:type="dxa"/>
            <w:bottom w:w="0" w:type="dxa"/>
            <w:right w:w="108" w:type="dxa"/>
          </w:tblCellMar>
        </w:tblPrEx>
        <w:trPr>
          <w:jc w:val="center"/>
        </w:trPr>
        <w:tc>
          <w:tcPr>
            <w:tcW w:w="1096" w:type="dxa"/>
            <w:tcBorders>
              <w:bottom w:val="single" w:color="auto" w:sz="4" w:space="0"/>
            </w:tcBorders>
            <w:noWrap w:val="0"/>
            <w:vAlign w:val="center"/>
          </w:tcPr>
          <w:p w14:paraId="6F762E9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IP-10</w:t>
            </w:r>
          </w:p>
        </w:tc>
        <w:tc>
          <w:tcPr>
            <w:tcW w:w="5958" w:type="dxa"/>
            <w:tcBorders>
              <w:bottom w:val="single" w:color="auto" w:sz="4" w:space="0"/>
            </w:tcBorders>
            <w:noWrap w:val="0"/>
            <w:vAlign w:val="center"/>
          </w:tcPr>
          <w:p w14:paraId="5A4A685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防城港市绿松源生物科技有限公司</w:t>
            </w:r>
          </w:p>
        </w:tc>
      </w:tr>
    </w:tbl>
    <w:p w14:paraId="6C9DBF29">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（一）原料要求</w:t>
      </w:r>
    </w:p>
    <w:p w14:paraId="016A121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依据企业生产</w:t>
      </w:r>
      <w:r>
        <w:rPr>
          <w:rFonts w:hint="default" w:ascii="Times New Roman" w:hAnsi="Times New Roman" w:eastAsia="仿宋_GB2312" w:cs="Times New Roman"/>
          <w:sz w:val="32"/>
          <w:szCs w:val="32"/>
          <w:lang w:val="en-US" w:eastAsia="zh-CN"/>
        </w:rPr>
        <w:t>符合标准的产品所需使用的原材料品质</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规定岗松枝干需无虫蛀、无霉变，按直径和长度分为细枝（0.3-0.5cm）、中枝（0.5-0.8cm）、粗枝（0.8-1.2cm）三级，确保原料规格统一。</w:t>
      </w:r>
    </w:p>
    <w:p w14:paraId="72717F30">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二</w:t>
      </w: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成品外观、规格尺寸</w:t>
      </w:r>
    </w:p>
    <w:p w14:paraId="2289F0D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为使原料筛选、加工流程的标准化，防止劣质枝条混入影响产品使用寿命，规定原料表面色泽均匀，整体成咖啡色，无明显污迹、虫蛀、断裂、腐朽和发霉现象。为保障产品</w:t>
      </w:r>
      <w:r>
        <w:rPr>
          <w:rFonts w:hint="default" w:ascii="Times New Roman" w:hAnsi="Times New Roman" w:eastAsia="仿宋_GB2312" w:cs="Times New Roman"/>
          <w:sz w:val="32"/>
          <w:szCs w:val="32"/>
          <w:lang w:eastAsia="zh-CN"/>
        </w:rPr>
        <w:t>结构稳定、美观价值、安全性和使用寿命</w:t>
      </w:r>
      <w:r>
        <w:rPr>
          <w:rFonts w:hint="default" w:ascii="Times New Roman" w:hAnsi="Times New Roman" w:eastAsia="仿宋_GB2312" w:cs="Times New Roman"/>
          <w:sz w:val="32"/>
          <w:szCs w:val="32"/>
          <w:lang w:val="en-US" w:eastAsia="zh-CN"/>
        </w:rPr>
        <w:t>等基本需求</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规定产品表面编织紧密、均匀、长短粗细统一、无明显透视线大洞、无明显瑕疵，表面层次分明、扎线紧实、整齐。扎线接头不外露。</w:t>
      </w:r>
    </w:p>
    <w:p w14:paraId="79559A89">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三</w:t>
      </w: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甲醛含量</w:t>
      </w:r>
    </w:p>
    <w:p w14:paraId="4F59902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根据《GB 18401-2010 国家纺织产品基本安全技术规范》“非直接接触皮肤的产品至少应符合C类要求”，</w:t>
      </w:r>
      <w:r>
        <w:rPr>
          <w:rFonts w:hint="default" w:ascii="Times New Roman" w:hAnsi="Times New Roman" w:eastAsia="仿宋_GB2312" w:cs="Times New Roman"/>
          <w:sz w:val="32"/>
          <w:szCs w:val="32"/>
        </w:rPr>
        <w:t>限定胶线等辅料甲醛含量≤300mg/kg</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依据GB/T 2912.1  纺织品 甲醛的测定  第1部分：游离和水解的甲醛（水萃取法）</w:t>
      </w:r>
      <w:r>
        <w:rPr>
          <w:rFonts w:hint="default" w:ascii="Times New Roman" w:hAnsi="Times New Roman" w:eastAsia="仿宋_GB2312" w:cs="Times New Roman"/>
          <w:sz w:val="32"/>
          <w:szCs w:val="32"/>
        </w:rPr>
        <w:t>检验</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产品中使用胶线、无纺布、棕榈及其他填充物的甲醛含量，均符合规定。</w:t>
      </w:r>
    </w:p>
    <w:p w14:paraId="03A51E2F">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（四）杂质</w:t>
      </w:r>
    </w:p>
    <w:p w14:paraId="58A4D27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根据生产工艺以及过程控制，产品可达到不夹带泥沙、石块、金属异物等杂质的要求。</w:t>
      </w:r>
    </w:p>
    <w:p w14:paraId="28E01902">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val="en-US" w:eastAsia="zh-CN"/>
        </w:rPr>
        <w:t>五</w:t>
      </w:r>
      <w:r>
        <w:rPr>
          <w:rFonts w:hint="eastAsia" w:ascii="楷体_GB2312" w:hAnsi="楷体_GB2312" w:eastAsia="楷体_GB2312" w:cs="楷体_GB2312"/>
          <w:b/>
          <w:bCs/>
          <w:sz w:val="32"/>
          <w:szCs w:val="32"/>
        </w:rPr>
        <w:t>）生产工艺</w:t>
      </w:r>
    </w:p>
    <w:p w14:paraId="286442E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明确</w:t>
      </w:r>
      <w:r>
        <w:rPr>
          <w:rFonts w:hint="eastAsia" w:ascii="仿宋_GB2312" w:hAnsi="仿宋_GB2312" w:eastAsia="仿宋_GB2312" w:cs="仿宋_GB2312"/>
          <w:sz w:val="32"/>
          <w:szCs w:val="32"/>
        </w:rPr>
        <w:t>“晾干或烘干→去叶→裁剪→编席→包装→贮存”</w:t>
      </w:r>
      <w:r>
        <w:rPr>
          <w:rFonts w:hint="eastAsia" w:ascii="仿宋_GB2312" w:hAnsi="仿宋_GB2312" w:eastAsia="仿宋_GB2312" w:cs="仿宋_GB2312"/>
          <w:sz w:val="32"/>
          <w:szCs w:val="32"/>
          <w:lang w:val="en-US" w:eastAsia="zh-CN"/>
        </w:rPr>
        <w:t>加</w:t>
      </w:r>
      <w:r>
        <w:rPr>
          <w:rFonts w:hint="default" w:ascii="Times New Roman" w:hAnsi="Times New Roman" w:eastAsia="仿宋_GB2312" w:cs="Times New Roman"/>
          <w:sz w:val="32"/>
          <w:szCs w:val="32"/>
          <w:lang w:val="en-US" w:eastAsia="zh-CN"/>
        </w:rPr>
        <w:t>工过程</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使生产流程规范化，保证产品质量稳定。</w:t>
      </w:r>
    </w:p>
    <w:p w14:paraId="345417E0">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（六）贮存条件</w:t>
      </w:r>
    </w:p>
    <w:p w14:paraId="002C64B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该产品可常温贮存，结合主要生产地气候环境，建议最高贮存温度应不高于38℃。</w:t>
      </w:r>
    </w:p>
    <w:p w14:paraId="0C1FF64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rPr>
      </w:pPr>
    </w:p>
    <w:sectPr>
      <w:footerReference r:id="rId3" w:type="default"/>
      <w:pgSz w:w="11906" w:h="16838"/>
      <w:pgMar w:top="2098" w:right="1474" w:bottom="1984" w:left="1587" w:header="1417" w:footer="1417"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FC6BCFA-87A1-407B-A796-7C2ACA19F65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82825E3E-10A9-4275-9F4E-1C07CF23BC2C}"/>
  </w:font>
  <w:font w:name="仿宋_GB2312">
    <w:panose1 w:val="02010609030101010101"/>
    <w:charset w:val="86"/>
    <w:family w:val="auto"/>
    <w:pitch w:val="default"/>
    <w:sig w:usb0="00000001" w:usb1="080E0000" w:usb2="00000000" w:usb3="00000000" w:csb0="00040000" w:csb1="00000000"/>
    <w:embedRegular r:id="rId3" w:fontKey="{E04E1247-8FA3-43EC-9445-FC307D9DA3B8}"/>
  </w:font>
  <w:font w:name="方正小标宋简体">
    <w:panose1 w:val="02000000000000000000"/>
    <w:charset w:val="86"/>
    <w:family w:val="auto"/>
    <w:pitch w:val="default"/>
    <w:sig w:usb0="00000001" w:usb1="08000000" w:usb2="00000000" w:usb3="00000000" w:csb0="00040000" w:csb1="00000000"/>
    <w:embedRegular r:id="rId4" w:fontKey="{C560AC29-C12A-43F4-BAED-09CE01DF3DD6}"/>
  </w:font>
  <w:font w:name="楷体_GB2312">
    <w:panose1 w:val="02010609030101010101"/>
    <w:charset w:val="86"/>
    <w:family w:val="auto"/>
    <w:pitch w:val="default"/>
    <w:sig w:usb0="00000001" w:usb1="080E0000" w:usb2="00000000" w:usb3="00000000" w:csb0="00040000" w:csb1="00000000"/>
    <w:embedRegular r:id="rId5" w:fontKey="{E9E807E9-765B-4FD8-966E-EBAD5B84084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1DED4F">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1EEF06">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51EEF06">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6"/>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FE3D11"/>
    <w:rsid w:val="0F9218E6"/>
    <w:rsid w:val="14D64C91"/>
    <w:rsid w:val="194C43A8"/>
    <w:rsid w:val="1B11289D"/>
    <w:rsid w:val="241064DD"/>
    <w:rsid w:val="26E518BA"/>
    <w:rsid w:val="29101B9C"/>
    <w:rsid w:val="2A354A66"/>
    <w:rsid w:val="3FB840D3"/>
    <w:rsid w:val="5364097F"/>
    <w:rsid w:val="57F46F72"/>
    <w:rsid w:val="5AF20301"/>
    <w:rsid w:val="60A15DDC"/>
    <w:rsid w:val="67005FF2"/>
    <w:rsid w:val="6C2376F1"/>
    <w:rsid w:val="6DEE59E0"/>
    <w:rsid w:val="70D32648"/>
    <w:rsid w:val="727906E6"/>
    <w:rsid w:val="732D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Strong"/>
    <w:basedOn w:val="6"/>
    <w:qFormat/>
    <w:uiPriority w:val="0"/>
    <w:rPr>
      <w:b/>
    </w:rPr>
  </w:style>
  <w:style w:type="character" w:styleId="8">
    <w:name w:val="Hyperlink"/>
    <w:basedOn w:val="6"/>
    <w:qFormat/>
    <w:uiPriority w:val="0"/>
    <w:rPr>
      <w:color w:val="0000FF"/>
      <w:u w:val="single"/>
    </w:rPr>
  </w:style>
  <w:style w:type="paragraph" w:customStyle="1" w:styleId="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4117</Words>
  <Characters>4390</Characters>
  <Lines>0</Lines>
  <Paragraphs>0</Paragraphs>
  <TotalTime>2</TotalTime>
  <ScaleCrop>false</ScaleCrop>
  <LinksUpToDate>false</LinksUpToDate>
  <CharactersWithSpaces>4420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2024-05-12T07:55:00Z</dcterms:created>
  <dc:creator>林科院</dc:creator>
  <cp:lastModifiedBy>军集</cp:lastModifiedBy>
  <dcterms:modified xsi:type="dcterms:W3CDTF">2025-03-26T02:26:27Z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748231534C344BEE957DFADC35F4C48F_12</vt:lpwstr>
  </property>
  <property fmtid="{D5CDD505-2E9C-101B-9397-08002B2CF9AE}" pid="4" name="KSOTemplateDocerSaveRecord">
    <vt:lpwstr>eyJoZGlkIjoiYThlZTBmNWUwYzdiOWUzYmU4NzViODBjYjJjMTRiMjQiLCJ1c2VySWQiOiI1NzI1NjQ1MzEifQ==</vt:lpwstr>
  </property>
</Properties>
</file>